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3E61E368"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524340">
              <w:rPr>
                <w:b/>
                <w:sz w:val="22"/>
                <w:szCs w:val="24"/>
              </w:rPr>
              <w:t>6</w:t>
            </w:r>
            <w:r w:rsidR="004F7F8F">
              <w:rPr>
                <w:b/>
                <w:sz w:val="22"/>
                <w:szCs w:val="24"/>
              </w:rPr>
              <w:t>bis</w:t>
            </w:r>
            <w:r w:rsidR="00524340">
              <w:rPr>
                <w:b/>
                <w:sz w:val="22"/>
                <w:szCs w:val="24"/>
              </w:rPr>
              <w:t>-e</w:t>
            </w:r>
            <w:r w:rsidRPr="002C136E">
              <w:rPr>
                <w:b/>
                <w:sz w:val="22"/>
                <w:szCs w:val="24"/>
              </w:rPr>
              <w:tab/>
            </w:r>
          </w:p>
          <w:p w14:paraId="1EC84673" w14:textId="2AFEE72B"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4F7F8F">
              <w:rPr>
                <w:rFonts w:ascii="Times New Roman" w:hAnsi="Times New Roman"/>
                <w:i w:val="0"/>
                <w:noProof w:val="0"/>
                <w:sz w:val="22"/>
                <w:szCs w:val="24"/>
              </w:rPr>
              <w:t>October 11</w:t>
            </w:r>
            <w:r w:rsidR="004F7F8F" w:rsidRPr="004F7F8F">
              <w:rPr>
                <w:rFonts w:ascii="Times New Roman" w:hAnsi="Times New Roman"/>
                <w:i w:val="0"/>
                <w:noProof w:val="0"/>
                <w:sz w:val="22"/>
                <w:szCs w:val="24"/>
                <w:vertAlign w:val="superscript"/>
              </w:rPr>
              <w:t>th</w:t>
            </w:r>
            <w:r w:rsidR="004F7F8F">
              <w:rPr>
                <w:rFonts w:ascii="Times New Roman" w:hAnsi="Times New Roman"/>
                <w:i w:val="0"/>
                <w:noProof w:val="0"/>
                <w:sz w:val="22"/>
                <w:szCs w:val="24"/>
              </w:rPr>
              <w:t xml:space="preserve"> – 19</w:t>
            </w:r>
            <w:r w:rsidR="004F7F8F" w:rsidRPr="004F7F8F">
              <w:rPr>
                <w:rFonts w:ascii="Times New Roman" w:hAnsi="Times New Roman"/>
                <w:i w:val="0"/>
                <w:noProof w:val="0"/>
                <w:sz w:val="22"/>
                <w:szCs w:val="24"/>
                <w:vertAlign w:val="superscript"/>
              </w:rPr>
              <w:t>th</w:t>
            </w:r>
            <w:r w:rsidR="00D27632" w:rsidRPr="00075B6D">
              <w:rPr>
                <w:rFonts w:ascii="Times New Roman" w:hAnsi="Times New Roman"/>
                <w:i w:val="0"/>
                <w:noProof w:val="0"/>
                <w:sz w:val="22"/>
                <w:szCs w:val="24"/>
              </w:rPr>
              <w:t>, 2021</w:t>
            </w:r>
          </w:p>
        </w:tc>
        <w:tc>
          <w:tcPr>
            <w:tcW w:w="2766" w:type="dxa"/>
          </w:tcPr>
          <w:p w14:paraId="04437A8E" w14:textId="104E9BF6" w:rsidR="006F40BC" w:rsidRPr="002C136E" w:rsidRDefault="00F6791F" w:rsidP="00016124">
            <w:pPr>
              <w:tabs>
                <w:tab w:val="right" w:pos="10000"/>
              </w:tabs>
              <w:spacing w:after="0"/>
              <w:jc w:val="right"/>
              <w:rPr>
                <w:bCs/>
                <w:sz w:val="22"/>
                <w:szCs w:val="24"/>
              </w:rPr>
            </w:pPr>
            <w:r w:rsidRPr="00F6791F">
              <w:rPr>
                <w:b/>
                <w:sz w:val="22"/>
                <w:szCs w:val="24"/>
              </w:rPr>
              <w:t>R1-21</w:t>
            </w:r>
            <w:r w:rsidR="002C6764">
              <w:rPr>
                <w:b/>
                <w:sz w:val="22"/>
                <w:szCs w:val="24"/>
              </w:rPr>
              <w:t>10202</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09A00AF9" w14:textId="3EC1E20F" w:rsidR="00746535" w:rsidRDefault="00746535" w:rsidP="00016124">
      <w:pPr>
        <w:pStyle w:val="Heading1"/>
        <w:jc w:val="both"/>
        <w:rPr>
          <w:rFonts w:ascii="Times New Roman" w:hAnsi="Times New Roman"/>
          <w:lang w:val="en-US"/>
        </w:rPr>
      </w:pPr>
      <w:r w:rsidRPr="002C136E">
        <w:rPr>
          <w:rFonts w:ascii="Times New Roman" w:hAnsi="Times New Roman"/>
          <w:lang w:val="en-US"/>
        </w:rPr>
        <w:t>Introduction</w:t>
      </w:r>
    </w:p>
    <w:p w14:paraId="7439D999" w14:textId="5491137A" w:rsidR="009E7AD9" w:rsidRDefault="00F47303" w:rsidP="006A6155">
      <w:r>
        <w:t>In RAN1-10</w:t>
      </w:r>
      <w:r w:rsidR="009E7AD9">
        <w:t>6-e</w:t>
      </w:r>
      <w:r>
        <w:t xml:space="preserve"> meeting</w:t>
      </w:r>
      <w:r w:rsidR="00ED793F">
        <w:t xml:space="preserve">, several </w:t>
      </w:r>
      <w:r w:rsidR="009E7AD9">
        <w:t>agreements were made that brough</w:t>
      </w:r>
      <w:r w:rsidR="008A3476">
        <w:t>t</w:t>
      </w:r>
      <w:r w:rsidR="009E7AD9">
        <w:t xml:space="preserve"> significant clarity to the overall structure of TB</w:t>
      </w:r>
      <w:r w:rsidR="001E6B34">
        <w:t>o</w:t>
      </w:r>
      <w:r w:rsidR="009E7AD9">
        <w:t xml:space="preserve">MS. </w:t>
      </w:r>
      <w:r w:rsidR="006E4E6E">
        <w:t>TB</w:t>
      </w:r>
      <w:r w:rsidR="001E6B34">
        <w:t>o</w:t>
      </w:r>
      <w:r w:rsidR="006E4E6E">
        <w:t xml:space="preserve">MS transmission is viewed as a collection of one or more transmissions, each spanning multiple slots. </w:t>
      </w:r>
      <w:r w:rsidR="00237007">
        <w:t>Each individual TB</w:t>
      </w:r>
      <w:r w:rsidR="001E6B34">
        <w:t>o</w:t>
      </w:r>
      <w:r w:rsidR="00237007">
        <w:t>MS transmission, referred to as a “single TB</w:t>
      </w:r>
      <w:r w:rsidR="001E6B34">
        <w:t>o</w:t>
      </w:r>
      <w:r w:rsidR="00237007">
        <w:t>MS”</w:t>
      </w:r>
      <w:r w:rsidR="001E6B34">
        <w:t xml:space="preserve">, could span multiple slots, but is governed by a single RV index. </w:t>
      </w:r>
      <w:r w:rsidR="00591563">
        <w:t xml:space="preserve">If TBoMS is configured with repetitions, </w:t>
      </w:r>
      <w:r w:rsidR="00800A46">
        <w:t xml:space="preserve">then multiple </w:t>
      </w:r>
      <w:r w:rsidR="000E1B22">
        <w:t>RV indices are used.</w:t>
      </w:r>
    </w:p>
    <w:p w14:paraId="611D5F32" w14:textId="6684CEB7" w:rsidR="00E07B67" w:rsidRDefault="00E07B67" w:rsidP="006A6155">
      <w:r>
        <w:t xml:space="preserve">The most critical open issue </w:t>
      </w:r>
      <w:r w:rsidR="002E6C4F">
        <w:t xml:space="preserve">is on rate matching aspects of </w:t>
      </w:r>
      <w:proofErr w:type="gramStart"/>
      <w:r w:rsidR="002E6C4F">
        <w:t>TBoMS</w:t>
      </w:r>
      <w:proofErr w:type="gramEnd"/>
      <w:r w:rsidR="002E6C4F">
        <w:t xml:space="preserve"> and this forms the core aspect of this document.</w:t>
      </w:r>
      <w:r w:rsidR="00AB4B64">
        <w:t xml:space="preserve"> We elaborate further on our views in the next few sections.</w:t>
      </w:r>
    </w:p>
    <w:p w14:paraId="1743BF9C" w14:textId="7DF00776" w:rsidR="00B44E81" w:rsidRDefault="00B44E81" w:rsidP="006A6155">
      <w:r>
        <w:t xml:space="preserve">With these </w:t>
      </w:r>
      <w:r w:rsidR="002D32FC">
        <w:t>agreements</w:t>
      </w:r>
      <w:r>
        <w:t xml:space="preserve"> in mind, we present our views on TBoMS in this document.</w:t>
      </w:r>
    </w:p>
    <w:p w14:paraId="0822BAB8" w14:textId="3761E2CF" w:rsidR="00017485" w:rsidRDefault="00D97D65" w:rsidP="00016124">
      <w:pPr>
        <w:pStyle w:val="Heading1"/>
        <w:jc w:val="both"/>
        <w:rPr>
          <w:rFonts w:ascii="Times New Roman" w:hAnsi="Times New Roman"/>
          <w:lang w:val="en-US"/>
        </w:rPr>
      </w:pPr>
      <w:r>
        <w:rPr>
          <w:rFonts w:ascii="Times New Roman" w:hAnsi="Times New Roman"/>
          <w:lang w:val="en-US"/>
        </w:rPr>
        <w:t>TBoMS</w:t>
      </w:r>
      <w:r w:rsidR="00462F56">
        <w:rPr>
          <w:rFonts w:ascii="Times New Roman" w:hAnsi="Times New Roman"/>
          <w:lang w:val="en-US"/>
        </w:rPr>
        <w:t xml:space="preserve"> Transmissions</w:t>
      </w:r>
      <w:r w:rsidR="00017485">
        <w:rPr>
          <w:rFonts w:ascii="Times New Roman" w:hAnsi="Times New Roman"/>
          <w:lang w:val="en-US"/>
        </w:rPr>
        <w:t xml:space="preserve"> </w:t>
      </w:r>
    </w:p>
    <w:p w14:paraId="14B06632" w14:textId="207D9E6B" w:rsidR="00462F56" w:rsidRPr="004F27EB" w:rsidRDefault="00CC3F4E" w:rsidP="00017485">
      <w:pPr>
        <w:pStyle w:val="Heading2"/>
        <w:rPr>
          <w:rFonts w:ascii="Times New Roman" w:hAnsi="Times New Roman"/>
        </w:rPr>
      </w:pPr>
      <w:r w:rsidRPr="004F27EB">
        <w:rPr>
          <w:rFonts w:ascii="Times New Roman" w:hAnsi="Times New Roman"/>
        </w:rPr>
        <w:t xml:space="preserve">Importance of </w:t>
      </w:r>
      <w:r w:rsidR="002E0A33" w:rsidRPr="004F27EB">
        <w:rPr>
          <w:rFonts w:ascii="Times New Roman" w:hAnsi="Times New Roman"/>
        </w:rPr>
        <w:t xml:space="preserve">modular </w:t>
      </w:r>
      <w:r w:rsidR="002C24C1" w:rsidRPr="004F27EB">
        <w:rPr>
          <w:rFonts w:ascii="Times New Roman" w:hAnsi="Times New Roman"/>
        </w:rPr>
        <w:t>transmissions</w:t>
      </w:r>
    </w:p>
    <w:p w14:paraId="4C7208A9" w14:textId="1F1DA27C" w:rsidR="00366C1C" w:rsidRDefault="00E45955" w:rsidP="00C3156B">
      <w:pPr>
        <w:jc w:val="both"/>
      </w:pPr>
      <w:r>
        <w:rPr>
          <w:lang w:val="en-GB"/>
        </w:rPr>
        <w:t>It was agree</w:t>
      </w:r>
      <w:r w:rsidR="00593F19">
        <w:rPr>
          <w:lang w:val="en-GB"/>
        </w:rPr>
        <w:t>d</w:t>
      </w:r>
      <w:r>
        <w:rPr>
          <w:lang w:val="en-GB"/>
        </w:rPr>
        <w:t xml:space="preserve"> in the previous meeting to use </w:t>
      </w:r>
      <w:r w:rsidR="00593F19">
        <w:rPr>
          <w:lang w:val="en-GB"/>
        </w:rPr>
        <w:t xml:space="preserve">PUSCH repetition </w:t>
      </w:r>
      <w:r>
        <w:rPr>
          <w:lang w:val="en-GB"/>
        </w:rPr>
        <w:t>Type</w:t>
      </w:r>
      <w:r w:rsidR="00593F19">
        <w:rPr>
          <w:lang w:val="en-GB"/>
        </w:rPr>
        <w:t xml:space="preserve"> A like TDRA for TBoMS. </w:t>
      </w:r>
      <w:r w:rsidR="00366C1C">
        <w:t>How time domain resources spread across contiguous or noncontiguous slots</w:t>
      </w:r>
      <w:r w:rsidR="0095140B">
        <w:t xml:space="preserve"> </w:t>
      </w:r>
      <w:r w:rsidR="00366C1C">
        <w:t>are pooled together and used towards TBoMS forms the core aspect of this section.</w:t>
      </w:r>
    </w:p>
    <w:p w14:paraId="4958190A" w14:textId="1CD017C9" w:rsidR="00366C1C" w:rsidRDefault="007C2EAE" w:rsidP="00C3156B">
      <w:pPr>
        <w:jc w:val="both"/>
      </w:pPr>
      <w:r>
        <w:t>To motivate the discussion in this section, we begin by considering a TDD system with a DDDU slot pattern. I</w:t>
      </w:r>
      <w:r w:rsidR="00366C1C">
        <w:t xml:space="preserve">n such a setup, there are no contiguous uplink slots, and a TBoMS </w:t>
      </w:r>
      <w:r w:rsidR="002460FA">
        <w:t xml:space="preserve">transmission </w:t>
      </w:r>
      <w:r w:rsidR="00366C1C">
        <w:t xml:space="preserve">spanning 4 uplink slots </w:t>
      </w:r>
      <w:proofErr w:type="gramStart"/>
      <w:r w:rsidR="00366C1C">
        <w:t>has to</w:t>
      </w:r>
      <w:proofErr w:type="gramEnd"/>
      <w:r w:rsidR="00366C1C">
        <w:t xml:space="preserve"> necessarily pool together resources that are noncontiguous. </w:t>
      </w:r>
    </w:p>
    <w:p w14:paraId="5A75F547" w14:textId="191F2675" w:rsidR="00EF74F2" w:rsidRDefault="00EF74F2" w:rsidP="00C3156B">
      <w:pPr>
        <w:overflowPunct/>
        <w:autoSpaceDE/>
        <w:autoSpaceDN/>
        <w:adjustRightInd/>
        <w:spacing w:before="120" w:after="120" w:line="276" w:lineRule="auto"/>
        <w:jc w:val="both"/>
        <w:textAlignment w:val="auto"/>
        <w:rPr>
          <w:lang w:eastAsia="zh-CN"/>
        </w:rPr>
      </w:pPr>
      <w:r>
        <w:rPr>
          <w:lang w:eastAsia="zh-CN"/>
        </w:rPr>
        <w:t>Two options emerge in such a scenario</w:t>
      </w:r>
      <w:r w:rsidR="000F7B85">
        <w:rPr>
          <w:lang w:eastAsia="zh-CN"/>
        </w:rPr>
        <w:t>, as show</w:t>
      </w:r>
      <w:r w:rsidR="001F1D9D">
        <w:rPr>
          <w:lang w:eastAsia="zh-CN"/>
        </w:rPr>
        <w:t>n</w:t>
      </w:r>
      <w:r w:rsidR="000F7B85">
        <w:rPr>
          <w:lang w:eastAsia="zh-CN"/>
        </w:rPr>
        <w:t xml:space="preserve"> in </w:t>
      </w:r>
      <w:r w:rsidR="000F7B85">
        <w:rPr>
          <w:lang w:eastAsia="zh-CN"/>
        </w:rPr>
        <w:fldChar w:fldCharType="begin"/>
      </w:r>
      <w:r w:rsidR="000F7B85">
        <w:rPr>
          <w:lang w:eastAsia="zh-CN"/>
        </w:rPr>
        <w:instrText xml:space="preserve"> REF _Ref68609735 \h </w:instrText>
      </w:r>
      <w:r w:rsidR="00C3156B">
        <w:rPr>
          <w:lang w:eastAsia="zh-CN"/>
        </w:rPr>
        <w:instrText xml:space="preserve"> \* MERGEFORMAT </w:instrText>
      </w:r>
      <w:r w:rsidR="000F7B85">
        <w:rPr>
          <w:lang w:eastAsia="zh-CN"/>
        </w:rPr>
      </w:r>
      <w:r w:rsidR="000F7B85">
        <w:rPr>
          <w:lang w:eastAsia="zh-CN"/>
        </w:rPr>
        <w:fldChar w:fldCharType="separate"/>
      </w:r>
      <w:r w:rsidR="00775476">
        <w:t xml:space="preserve">Figure </w:t>
      </w:r>
      <w:r w:rsidR="00775476">
        <w:rPr>
          <w:noProof/>
        </w:rPr>
        <w:t>1</w:t>
      </w:r>
      <w:r w:rsidR="000F7B85">
        <w:rPr>
          <w:lang w:eastAsia="zh-CN"/>
        </w:rPr>
        <w:fldChar w:fldCharType="end"/>
      </w:r>
      <w:r>
        <w:rPr>
          <w:lang w:eastAsia="zh-CN"/>
        </w:rPr>
        <w:t>. One can either pool resources across 4 uplink slots and view them as a single contiguous resource of 56 symbols, and setup a contiguous PUSCH transmission going across all 4 slots or alternately, one may view resources across these 4 uplink slots as 4 segments of a single TBoMS transmission and take a modular approach to setting up the TBoMS transmission by viewing th</w:t>
      </w:r>
      <w:r w:rsidR="001F1D9D">
        <w:rPr>
          <w:lang w:eastAsia="zh-CN"/>
        </w:rPr>
        <w:t>ese</w:t>
      </w:r>
      <w:r>
        <w:rPr>
          <w:lang w:eastAsia="zh-CN"/>
        </w:rPr>
        <w:t xml:space="preserve"> as 4 separate segments of a TBoMS transmission.</w:t>
      </w:r>
      <w:r w:rsidR="00EB3B21">
        <w:rPr>
          <w:lang w:eastAsia="zh-CN"/>
        </w:rPr>
        <w:t xml:space="preserve"> </w:t>
      </w:r>
    </w:p>
    <w:p w14:paraId="6BB3594E" w14:textId="3A04D9AB" w:rsidR="00EF74F2" w:rsidRDefault="004E72ED" w:rsidP="004E72ED">
      <w:pPr>
        <w:jc w:val="center"/>
      </w:pPr>
      <w:r>
        <w:rPr>
          <w:noProof/>
        </w:rPr>
        <w:drawing>
          <wp:inline distT="0" distB="0" distL="0" distR="0" wp14:anchorId="226BACC7" wp14:editId="761E194B">
            <wp:extent cx="4469799" cy="2509242"/>
            <wp:effectExtent l="0" t="0" r="6985" b="571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0608" cy="2520924"/>
                    </a:xfrm>
                    <a:prstGeom prst="rect">
                      <a:avLst/>
                    </a:prstGeom>
                    <a:noFill/>
                  </pic:spPr>
                </pic:pic>
              </a:graphicData>
            </a:graphic>
          </wp:inline>
        </w:drawing>
      </w:r>
    </w:p>
    <w:p w14:paraId="1E821AF4" w14:textId="53B3E3EF" w:rsidR="008D23FB" w:rsidRDefault="008D23FB" w:rsidP="008D23FB">
      <w:pPr>
        <w:keepNext/>
        <w:jc w:val="center"/>
      </w:pPr>
    </w:p>
    <w:p w14:paraId="5EE0A4A1" w14:textId="193CCE69" w:rsidR="00366C1C" w:rsidRDefault="008D23FB" w:rsidP="008D23FB">
      <w:pPr>
        <w:pStyle w:val="Caption"/>
        <w:jc w:val="center"/>
      </w:pPr>
      <w:bookmarkStart w:id="1" w:name="_Ref68609735"/>
      <w:r>
        <w:t xml:space="preserve">Figure </w:t>
      </w:r>
      <w:r>
        <w:fldChar w:fldCharType="begin"/>
      </w:r>
      <w:r>
        <w:instrText xml:space="preserve"> SEQ Figure \* ARABIC </w:instrText>
      </w:r>
      <w:r>
        <w:fldChar w:fldCharType="separate"/>
      </w:r>
      <w:r w:rsidR="00D84414">
        <w:rPr>
          <w:noProof/>
        </w:rPr>
        <w:t>1</w:t>
      </w:r>
      <w:r>
        <w:fldChar w:fldCharType="end"/>
      </w:r>
      <w:bookmarkEnd w:id="1"/>
      <w:r>
        <w:t xml:space="preserve"> Two approaches to pooling resources across </w:t>
      </w:r>
      <w:proofErr w:type="spellStart"/>
      <w:r>
        <w:t>noncontiguous</w:t>
      </w:r>
      <w:proofErr w:type="spellEnd"/>
      <w:r>
        <w:t xml:space="preserve"> slots</w:t>
      </w:r>
      <w:r w:rsidR="000F7B85" w:rsidRPr="000F7B85">
        <w:rPr>
          <w:rFonts w:eastAsia="SimSun"/>
          <w:i w:val="0"/>
          <w:iCs w:val="0"/>
          <w:noProof/>
          <w:color w:val="auto"/>
          <w:sz w:val="20"/>
          <w:szCs w:val="20"/>
          <w:lang w:val="en-US"/>
        </w:rPr>
        <w:t xml:space="preserve"> </w:t>
      </w:r>
    </w:p>
    <w:p w14:paraId="2BD17F18" w14:textId="43CB7B05" w:rsidR="00E8739F" w:rsidRDefault="00E8739F" w:rsidP="00366C1C">
      <w:pPr>
        <w:overflowPunct/>
        <w:autoSpaceDE/>
        <w:autoSpaceDN/>
        <w:adjustRightInd/>
        <w:spacing w:before="120" w:after="120" w:line="276" w:lineRule="auto"/>
        <w:jc w:val="both"/>
        <w:textAlignment w:val="auto"/>
        <w:rPr>
          <w:lang w:eastAsia="zh-CN"/>
        </w:rPr>
      </w:pPr>
      <w:r>
        <w:rPr>
          <w:lang w:eastAsia="zh-CN"/>
        </w:rPr>
        <w:t xml:space="preserve">The modular approach is our preferred choice since it </w:t>
      </w:r>
      <w:r w:rsidR="00F521B6">
        <w:rPr>
          <w:lang w:eastAsia="zh-CN"/>
        </w:rPr>
        <w:t>helps TBoMS coexist with several other spec features and is also implementation friendly. We elaborate further on these aspect</w:t>
      </w:r>
      <w:r w:rsidR="00C3156B">
        <w:rPr>
          <w:lang w:eastAsia="zh-CN"/>
        </w:rPr>
        <w:t>s</w:t>
      </w:r>
      <w:r w:rsidR="00F521B6">
        <w:rPr>
          <w:lang w:eastAsia="zh-CN"/>
        </w:rPr>
        <w:t xml:space="preserve"> in the subsequent sections.</w:t>
      </w:r>
    </w:p>
    <w:p w14:paraId="330F609D" w14:textId="014ABC02" w:rsidR="00F521B6" w:rsidRDefault="00F521B6" w:rsidP="00366C1C">
      <w:pPr>
        <w:overflowPunct/>
        <w:autoSpaceDE/>
        <w:autoSpaceDN/>
        <w:adjustRightInd/>
        <w:spacing w:before="120" w:after="120" w:line="276" w:lineRule="auto"/>
        <w:jc w:val="both"/>
        <w:textAlignment w:val="auto"/>
        <w:rPr>
          <w:lang w:eastAsia="zh-CN"/>
        </w:rPr>
      </w:pPr>
      <w:r w:rsidRPr="00F521B6">
        <w:rPr>
          <w:b/>
          <w:lang w:eastAsia="zh-CN"/>
        </w:rPr>
        <w:t>Proposal</w:t>
      </w:r>
      <w:r w:rsidR="00574132">
        <w:rPr>
          <w:b/>
          <w:lang w:eastAsia="zh-CN"/>
        </w:rPr>
        <w:t xml:space="preserve"> </w:t>
      </w:r>
      <w:r w:rsidR="002D32FC">
        <w:rPr>
          <w:b/>
          <w:lang w:eastAsia="zh-CN"/>
        </w:rPr>
        <w:t>1</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09FA0308" w14:textId="2DFD7201" w:rsidR="00EF709A" w:rsidRDefault="00EF709A" w:rsidP="00EF709A">
      <w:pPr>
        <w:pStyle w:val="Heading2"/>
      </w:pPr>
      <w:r>
        <w:t>Rate Matching for TBoMS</w:t>
      </w:r>
    </w:p>
    <w:p w14:paraId="134CD760" w14:textId="67C01F2F" w:rsidR="00BC0FF5" w:rsidRPr="00BC0FF5" w:rsidRDefault="00BC0FF5" w:rsidP="00BC0FF5">
      <w:pPr>
        <w:rPr>
          <w:lang w:val="en-GB"/>
        </w:rPr>
      </w:pPr>
      <w:r>
        <w:rPr>
          <w:lang w:val="en-GB"/>
        </w:rPr>
        <w:t xml:space="preserve">In the previous meetings, the following two options are identified for rate matching </w:t>
      </w:r>
      <w:r w:rsidR="00DD1B8B">
        <w:rPr>
          <w:lang w:val="en-GB"/>
        </w:rPr>
        <w:t>bits across a single TBoMS transmission:</w:t>
      </w:r>
    </w:p>
    <w:p w14:paraId="698601F5" w14:textId="77777777" w:rsidR="00BC0FF5" w:rsidRPr="00847921" w:rsidRDefault="00BC0FF5" w:rsidP="00BC0FF5">
      <w:pPr>
        <w:pStyle w:val="ListParagraph"/>
        <w:numPr>
          <w:ilvl w:val="0"/>
          <w:numId w:val="34"/>
        </w:numPr>
        <w:overflowPunct/>
        <w:autoSpaceDE/>
        <w:autoSpaceDN/>
        <w:adjustRightInd/>
        <w:spacing w:line="256" w:lineRule="auto"/>
        <w:jc w:val="both"/>
        <w:textAlignment w:val="auto"/>
      </w:pPr>
      <w:r w:rsidRPr="00847921">
        <w:t xml:space="preserve">Option a: Rate-matching is performed per </w:t>
      </w:r>
      <w:proofErr w:type="gramStart"/>
      <w:r w:rsidRPr="00847921">
        <w:t>slot;</w:t>
      </w:r>
      <w:proofErr w:type="gramEnd"/>
    </w:p>
    <w:p w14:paraId="5505F197" w14:textId="72274BC6" w:rsidR="00BC0FF5" w:rsidRPr="00847921" w:rsidRDefault="00BC0FF5" w:rsidP="00BC0FF5">
      <w:pPr>
        <w:pStyle w:val="ListParagraph"/>
        <w:numPr>
          <w:ilvl w:val="0"/>
          <w:numId w:val="34"/>
        </w:numPr>
        <w:overflowPunct/>
        <w:autoSpaceDE/>
        <w:autoSpaceDN/>
        <w:adjustRightInd/>
        <w:spacing w:line="256" w:lineRule="auto"/>
        <w:jc w:val="both"/>
        <w:textAlignment w:val="auto"/>
      </w:pPr>
      <w:r w:rsidRPr="00847921">
        <w:t xml:space="preserve">Option b: Rate matching is performed continuously across all the allocated slot(s) </w:t>
      </w:r>
      <w:proofErr w:type="gramStart"/>
      <w:r w:rsidR="00475537">
        <w:t>of  a</w:t>
      </w:r>
      <w:proofErr w:type="gramEnd"/>
      <w:r w:rsidR="00475537">
        <w:t xml:space="preserve"> single TBoMS.</w:t>
      </w:r>
    </w:p>
    <w:p w14:paraId="312357EB" w14:textId="138460E9" w:rsidR="008C256F" w:rsidRPr="008C256F" w:rsidRDefault="004F6E2F" w:rsidP="008C256F">
      <w:pPr>
        <w:rPr>
          <w:lang w:val="en-GB"/>
        </w:rPr>
      </w:pPr>
      <w:r>
        <w:rPr>
          <w:lang w:val="en-GB"/>
        </w:rPr>
        <w:fldChar w:fldCharType="begin"/>
      </w:r>
      <w:r>
        <w:rPr>
          <w:lang w:val="en-GB"/>
        </w:rPr>
        <w:instrText xml:space="preserve"> REF _Ref84002437 \h </w:instrText>
      </w:r>
      <w:r>
        <w:rPr>
          <w:lang w:val="en-GB"/>
        </w:rPr>
      </w:r>
      <w:r>
        <w:rPr>
          <w:lang w:val="en-GB"/>
        </w:rPr>
        <w:fldChar w:fldCharType="separate"/>
      </w:r>
      <w:r>
        <w:t xml:space="preserve">Figure </w:t>
      </w:r>
      <w:r>
        <w:rPr>
          <w:noProof/>
        </w:rPr>
        <w:t>2</w:t>
      </w:r>
      <w:r>
        <w:rPr>
          <w:lang w:val="en-GB"/>
        </w:rPr>
        <w:fldChar w:fldCharType="end"/>
      </w:r>
      <w:r>
        <w:rPr>
          <w:lang w:val="en-GB"/>
        </w:rPr>
        <w:t xml:space="preserve"> and </w:t>
      </w:r>
      <w:r>
        <w:rPr>
          <w:lang w:val="en-GB"/>
        </w:rPr>
        <w:fldChar w:fldCharType="begin"/>
      </w:r>
      <w:r>
        <w:rPr>
          <w:lang w:val="en-GB"/>
        </w:rPr>
        <w:instrText xml:space="preserve"> REF _Ref84002445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t>
      </w:r>
      <w:r w:rsidR="00090D6C">
        <w:rPr>
          <w:lang w:val="en-GB"/>
        </w:rPr>
        <w:t xml:space="preserve">illustrate how the two options </w:t>
      </w:r>
      <w:proofErr w:type="gramStart"/>
      <w:r w:rsidR="00090D6C">
        <w:rPr>
          <w:lang w:val="en-GB"/>
        </w:rPr>
        <w:t>function</w:t>
      </w:r>
      <w:proofErr w:type="gramEnd"/>
      <w:r w:rsidR="00090D6C">
        <w:rPr>
          <w:lang w:val="en-GB"/>
        </w:rPr>
        <w:t xml:space="preserve"> at a basic level. </w:t>
      </w:r>
      <w:r w:rsidR="00CC4F88">
        <w:rPr>
          <w:lang w:val="en-GB"/>
        </w:rPr>
        <w:t>Let’s c</w:t>
      </w:r>
      <w:r w:rsidR="00090D6C">
        <w:rPr>
          <w:lang w:val="en-GB"/>
        </w:rPr>
        <w:t xml:space="preserve">onsider </w:t>
      </w:r>
      <w:r w:rsidR="008C256F">
        <w:rPr>
          <w:lang w:val="en-GB"/>
        </w:rPr>
        <w:t xml:space="preserve">a TBoMS transmission spanning 4 slots, with </w:t>
      </w:r>
      <w:r w:rsidR="008C256F" w:rsidRPr="008C256F">
        <w:rPr>
          <w:lang w:val="en-GB"/>
        </w:rPr>
        <w:t>14 symbol/slot</w:t>
      </w:r>
      <w:r w:rsidR="00B11305">
        <w:rPr>
          <w:lang w:val="en-GB"/>
        </w:rPr>
        <w:t>.</w:t>
      </w:r>
      <w:r w:rsidR="008C256F" w:rsidRPr="008C256F">
        <w:rPr>
          <w:lang w:val="en-GB"/>
        </w:rPr>
        <w:t xml:space="preserve"> </w:t>
      </w:r>
      <w:r w:rsidR="008C256F">
        <w:rPr>
          <w:lang w:val="en-GB"/>
        </w:rPr>
        <w:t xml:space="preserve">Assume further that the MCS selected is such that it results in </w:t>
      </w:r>
      <w:r w:rsidR="008C256F" w:rsidRPr="008C256F">
        <w:rPr>
          <w:lang w:val="en-GB"/>
        </w:rPr>
        <w:t>6 CBs.</w:t>
      </w:r>
      <w:r w:rsidR="00B47EAF">
        <w:rPr>
          <w:lang w:val="en-GB"/>
        </w:rPr>
        <w:t xml:space="preserve"> </w:t>
      </w:r>
      <w:r w:rsidR="00E23A6D">
        <w:rPr>
          <w:lang w:val="en-GB"/>
        </w:rPr>
        <w:t>For this scenario, r</w:t>
      </w:r>
      <w:r w:rsidR="008C256F" w:rsidRPr="008C256F">
        <w:rPr>
          <w:lang w:val="en-GB"/>
        </w:rPr>
        <w:t>ate matching per slot is illustrated as follows</w:t>
      </w:r>
      <w:r w:rsidR="00E23A6D">
        <w:rPr>
          <w:lang w:val="en-GB"/>
        </w:rPr>
        <w:t xml:space="preserve"> (ignores DMRS locations):</w:t>
      </w:r>
    </w:p>
    <w:p w14:paraId="52FB665B" w14:textId="77777777" w:rsidR="00A809D8" w:rsidRDefault="00E23A6D" w:rsidP="00A809D8">
      <w:pPr>
        <w:keepNext/>
        <w:jc w:val="center"/>
      </w:pPr>
      <w:r>
        <w:rPr>
          <w:noProof/>
          <w:lang w:val="en-GB"/>
        </w:rPr>
        <w:drawing>
          <wp:inline distT="0" distB="0" distL="0" distR="0" wp14:anchorId="3AB490C4" wp14:editId="3C227D5B">
            <wp:extent cx="5941959" cy="981054"/>
            <wp:effectExtent l="0" t="0" r="190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6039048" cy="997084"/>
                    </a:xfrm>
                    <a:prstGeom prst="rect">
                      <a:avLst/>
                    </a:prstGeom>
                    <a:noFill/>
                  </pic:spPr>
                </pic:pic>
              </a:graphicData>
            </a:graphic>
          </wp:inline>
        </w:drawing>
      </w:r>
    </w:p>
    <w:p w14:paraId="33F093B6" w14:textId="51DE4EEA" w:rsidR="008C256F" w:rsidRPr="008C256F" w:rsidRDefault="00A809D8" w:rsidP="00A809D8">
      <w:pPr>
        <w:pStyle w:val="Caption"/>
        <w:jc w:val="center"/>
      </w:pPr>
      <w:bookmarkStart w:id="2" w:name="_Ref84002437"/>
      <w:r>
        <w:t xml:space="preserve">Figure </w:t>
      </w:r>
      <w:r>
        <w:fldChar w:fldCharType="begin"/>
      </w:r>
      <w:r>
        <w:instrText xml:space="preserve"> SEQ Figure \* ARABIC </w:instrText>
      </w:r>
      <w:r>
        <w:fldChar w:fldCharType="separate"/>
      </w:r>
      <w:r w:rsidR="00D84414">
        <w:rPr>
          <w:noProof/>
        </w:rPr>
        <w:t>2</w:t>
      </w:r>
      <w:r>
        <w:fldChar w:fldCharType="end"/>
      </w:r>
      <w:bookmarkEnd w:id="2"/>
      <w:r>
        <w:t xml:space="preserve"> Rate matching per slot</w:t>
      </w:r>
    </w:p>
    <w:p w14:paraId="2F5F6F94" w14:textId="305B94F4" w:rsidR="008C256F" w:rsidRDefault="00FF5FFE" w:rsidP="008C256F">
      <w:pPr>
        <w:rPr>
          <w:lang w:val="en-GB"/>
        </w:rPr>
      </w:pPr>
      <w:r>
        <w:rPr>
          <w:lang w:val="en-GB"/>
        </w:rPr>
        <w:t xml:space="preserve">The following </w:t>
      </w:r>
      <w:r w:rsidR="006C50B2">
        <w:rPr>
          <w:lang w:val="en-GB"/>
        </w:rPr>
        <w:t>points are to be noted:</w:t>
      </w:r>
    </w:p>
    <w:p w14:paraId="45196642" w14:textId="50C59434" w:rsidR="008C256F" w:rsidRPr="006C50B2" w:rsidRDefault="008C256F" w:rsidP="006C50B2">
      <w:pPr>
        <w:pStyle w:val="ListParagraph"/>
        <w:numPr>
          <w:ilvl w:val="0"/>
          <w:numId w:val="47"/>
        </w:numPr>
        <w:rPr>
          <w:lang w:val="en-GB"/>
        </w:rPr>
      </w:pPr>
      <w:r w:rsidRPr="006C50B2">
        <w:rPr>
          <w:lang w:val="en-GB"/>
        </w:rPr>
        <w:t>Within each slot, resources are partitioned across all the CBs</w:t>
      </w:r>
      <w:r w:rsidR="006C50B2">
        <w:rPr>
          <w:lang w:val="en-GB"/>
        </w:rPr>
        <w:t xml:space="preserve">. </w:t>
      </w:r>
    </w:p>
    <w:p w14:paraId="7A74D1BC" w14:textId="77777777" w:rsidR="008C256F" w:rsidRPr="006C50B2" w:rsidRDefault="008C256F" w:rsidP="006C50B2">
      <w:pPr>
        <w:pStyle w:val="ListParagraph"/>
        <w:numPr>
          <w:ilvl w:val="0"/>
          <w:numId w:val="47"/>
        </w:numPr>
        <w:rPr>
          <w:lang w:val="en-GB"/>
        </w:rPr>
      </w:pPr>
      <w:r w:rsidRPr="006C50B2">
        <w:rPr>
          <w:lang w:val="en-GB"/>
        </w:rPr>
        <w:t>Chequered pattern is used to indicate intra-CB SBPM interleaving</w:t>
      </w:r>
    </w:p>
    <w:p w14:paraId="27CCFEE4" w14:textId="28878E60" w:rsidR="00090D6C" w:rsidRDefault="00DF466A" w:rsidP="006C50B2">
      <w:pPr>
        <w:pStyle w:val="ListParagraph"/>
        <w:numPr>
          <w:ilvl w:val="0"/>
          <w:numId w:val="47"/>
        </w:numPr>
        <w:rPr>
          <w:lang w:val="en-GB"/>
        </w:rPr>
      </w:pPr>
      <w:r>
        <w:rPr>
          <w:lang w:val="en-GB"/>
        </w:rPr>
        <w:t>Resources for a</w:t>
      </w:r>
      <w:r w:rsidR="008C256F" w:rsidRPr="006C50B2">
        <w:rPr>
          <w:lang w:val="en-GB"/>
        </w:rPr>
        <w:t xml:space="preserve"> CB are spread out across all slots</w:t>
      </w:r>
      <w:r>
        <w:rPr>
          <w:lang w:val="en-GB"/>
        </w:rPr>
        <w:t>.</w:t>
      </w:r>
    </w:p>
    <w:p w14:paraId="736DB33E" w14:textId="0DF02FC1" w:rsidR="00286D69" w:rsidRPr="006C50B2" w:rsidRDefault="00286D69" w:rsidP="006C50B2">
      <w:pPr>
        <w:pStyle w:val="ListParagraph"/>
        <w:numPr>
          <w:ilvl w:val="0"/>
          <w:numId w:val="47"/>
        </w:numPr>
        <w:rPr>
          <w:lang w:val="en-GB"/>
        </w:rPr>
      </w:pPr>
      <w:r>
        <w:rPr>
          <w:lang w:val="en-GB"/>
        </w:rPr>
        <w:t xml:space="preserve">Legacy PUSCH Type A repetition </w:t>
      </w:r>
      <w:r w:rsidR="00100239">
        <w:rPr>
          <w:lang w:val="en-GB"/>
        </w:rPr>
        <w:t xml:space="preserve">follows </w:t>
      </w:r>
      <w:r w:rsidR="00E53829">
        <w:rPr>
          <w:lang w:val="en-GB"/>
        </w:rPr>
        <w:t>a similar procedure</w:t>
      </w:r>
    </w:p>
    <w:p w14:paraId="3BC51827" w14:textId="339A6A61" w:rsidR="00E9063B" w:rsidRPr="008C256F" w:rsidRDefault="00E9063B" w:rsidP="00E9063B">
      <w:pPr>
        <w:rPr>
          <w:lang w:val="en-GB"/>
        </w:rPr>
      </w:pPr>
      <w:r>
        <w:rPr>
          <w:lang w:val="en-GB"/>
        </w:rPr>
        <w:t>For this same scenario, r</w:t>
      </w:r>
      <w:r w:rsidRPr="008C256F">
        <w:rPr>
          <w:lang w:val="en-GB"/>
        </w:rPr>
        <w:t xml:space="preserve">ate matching </w:t>
      </w:r>
      <w:r>
        <w:rPr>
          <w:lang w:val="en-GB"/>
        </w:rPr>
        <w:t>across all four slots of a single TBoMS</w:t>
      </w:r>
      <w:r w:rsidRPr="008C256F">
        <w:rPr>
          <w:lang w:val="en-GB"/>
        </w:rPr>
        <w:t xml:space="preserve"> is illustrated as follows</w:t>
      </w:r>
      <w:r>
        <w:rPr>
          <w:lang w:val="en-GB"/>
        </w:rPr>
        <w:t xml:space="preserve"> (ignores DMRS locations):</w:t>
      </w:r>
    </w:p>
    <w:p w14:paraId="7F25E507" w14:textId="77777777" w:rsidR="0070016D" w:rsidRDefault="0070016D" w:rsidP="00B65148">
      <w:pPr>
        <w:keepNext/>
        <w:jc w:val="center"/>
      </w:pPr>
      <w:r>
        <w:rPr>
          <w:noProof/>
          <w:lang w:val="en-GB"/>
        </w:rPr>
        <w:drawing>
          <wp:inline distT="0" distB="0" distL="0" distR="0" wp14:anchorId="4E357D23" wp14:editId="0850C156">
            <wp:extent cx="5908117" cy="974943"/>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392" cy="987035"/>
                    </a:xfrm>
                    <a:prstGeom prst="rect">
                      <a:avLst/>
                    </a:prstGeom>
                    <a:noFill/>
                  </pic:spPr>
                </pic:pic>
              </a:graphicData>
            </a:graphic>
          </wp:inline>
        </w:drawing>
      </w:r>
    </w:p>
    <w:p w14:paraId="2B545688" w14:textId="68DC9DAE" w:rsidR="0015562F" w:rsidRPr="001924F4" w:rsidRDefault="0070016D" w:rsidP="00B65148">
      <w:pPr>
        <w:pStyle w:val="Caption"/>
        <w:jc w:val="center"/>
      </w:pPr>
      <w:bookmarkStart w:id="3" w:name="_Ref84002445"/>
      <w:r>
        <w:t xml:space="preserve">Figure </w:t>
      </w:r>
      <w:r>
        <w:fldChar w:fldCharType="begin"/>
      </w:r>
      <w:r>
        <w:instrText xml:space="preserve"> SEQ Figure \* ARABIC </w:instrText>
      </w:r>
      <w:r>
        <w:fldChar w:fldCharType="separate"/>
      </w:r>
      <w:r w:rsidR="00D84414">
        <w:rPr>
          <w:noProof/>
        </w:rPr>
        <w:t>3</w:t>
      </w:r>
      <w:r>
        <w:fldChar w:fldCharType="end"/>
      </w:r>
      <w:bookmarkEnd w:id="3"/>
      <w:r>
        <w:t xml:space="preserve"> Rate matching across all slots of a single TBoMS</w:t>
      </w:r>
    </w:p>
    <w:p w14:paraId="3AD32AAD" w14:textId="77777777" w:rsidR="00027457" w:rsidRDefault="00027457" w:rsidP="00027457">
      <w:pPr>
        <w:rPr>
          <w:lang w:val="en-GB"/>
        </w:rPr>
      </w:pPr>
      <w:r>
        <w:rPr>
          <w:lang w:val="en-GB"/>
        </w:rPr>
        <w:t>The following points are to be noted:</w:t>
      </w:r>
    </w:p>
    <w:p w14:paraId="03EFB7B7" w14:textId="77777777" w:rsidR="00D0572E" w:rsidRPr="00D0572E" w:rsidRDefault="00D0572E" w:rsidP="00D0572E">
      <w:pPr>
        <w:pStyle w:val="ListParagraph"/>
        <w:numPr>
          <w:ilvl w:val="0"/>
          <w:numId w:val="48"/>
        </w:numPr>
        <w:rPr>
          <w:lang w:val="en-GB"/>
        </w:rPr>
      </w:pPr>
      <w:r w:rsidRPr="00D0572E">
        <w:rPr>
          <w:lang w:val="en-GB"/>
        </w:rPr>
        <w:t>Resource partitioning across CBs takes all slots into account and is performed in a single step</w:t>
      </w:r>
    </w:p>
    <w:p w14:paraId="681E5074" w14:textId="77777777" w:rsidR="00D10F50" w:rsidRPr="00D0572E" w:rsidRDefault="00D10F50" w:rsidP="00D10F50">
      <w:pPr>
        <w:pStyle w:val="ListParagraph"/>
        <w:numPr>
          <w:ilvl w:val="0"/>
          <w:numId w:val="48"/>
        </w:numPr>
        <w:rPr>
          <w:lang w:val="en-GB"/>
        </w:rPr>
      </w:pPr>
      <w:r w:rsidRPr="00D0572E">
        <w:rPr>
          <w:lang w:val="en-GB"/>
        </w:rPr>
        <w:t>Chequered pattern is used to indicate intra-CB SBPM interleaving</w:t>
      </w:r>
    </w:p>
    <w:p w14:paraId="1E6788D3" w14:textId="54F79807" w:rsidR="00D0572E" w:rsidRPr="00D0572E" w:rsidRDefault="00D0572E" w:rsidP="00D0572E">
      <w:pPr>
        <w:pStyle w:val="ListParagraph"/>
        <w:numPr>
          <w:ilvl w:val="0"/>
          <w:numId w:val="48"/>
        </w:numPr>
        <w:rPr>
          <w:lang w:val="en-GB"/>
        </w:rPr>
      </w:pPr>
      <w:r w:rsidRPr="00D0572E">
        <w:rPr>
          <w:lang w:val="en-GB"/>
        </w:rPr>
        <w:t>CB resources are localized and not spread out across all slots</w:t>
      </w:r>
    </w:p>
    <w:p w14:paraId="04F8D9FA" w14:textId="78567849" w:rsidR="00D0572E" w:rsidRPr="00D0572E" w:rsidRDefault="00D10F50" w:rsidP="00D0572E">
      <w:pPr>
        <w:pStyle w:val="ListParagraph"/>
        <w:numPr>
          <w:ilvl w:val="0"/>
          <w:numId w:val="48"/>
        </w:numPr>
        <w:rPr>
          <w:lang w:val="en-GB"/>
        </w:rPr>
      </w:pPr>
      <w:r>
        <w:rPr>
          <w:lang w:val="en-GB"/>
        </w:rPr>
        <w:t>S</w:t>
      </w:r>
      <w:r w:rsidR="00D0572E" w:rsidRPr="00D0572E">
        <w:rPr>
          <w:lang w:val="en-GB"/>
        </w:rPr>
        <w:t>ome CBs can straddle slot boundaries</w:t>
      </w:r>
      <w:r>
        <w:rPr>
          <w:lang w:val="en-GB"/>
        </w:rPr>
        <w:t xml:space="preserve"> (interleaved bits cross slot boundaries)</w:t>
      </w:r>
    </w:p>
    <w:p w14:paraId="1FAD1603" w14:textId="77777777" w:rsidR="008316A8" w:rsidRDefault="008316A8" w:rsidP="00847EBE">
      <w:pPr>
        <w:rPr>
          <w:lang w:val="en-GB"/>
        </w:rPr>
      </w:pPr>
    </w:p>
    <w:p w14:paraId="69C4D92C" w14:textId="7707C9AE" w:rsidR="006A3FC5" w:rsidRDefault="008316A8" w:rsidP="00847EBE">
      <w:pPr>
        <w:rPr>
          <w:lang w:val="en-GB"/>
        </w:rPr>
      </w:pPr>
      <w:r>
        <w:rPr>
          <w:lang w:val="en-GB"/>
        </w:rPr>
        <w:t>Note that the c</w:t>
      </w:r>
      <w:r w:rsidR="00847EBE" w:rsidRPr="00847EBE">
        <w:rPr>
          <w:lang w:val="en-GB"/>
        </w:rPr>
        <w:t>urrent coding chain has an intra-CB SBPM interleaver</w:t>
      </w:r>
      <w:r>
        <w:rPr>
          <w:lang w:val="en-GB"/>
        </w:rPr>
        <w:t xml:space="preserve">. An </w:t>
      </w:r>
      <w:r w:rsidR="00847EBE" w:rsidRPr="00847EBE">
        <w:rPr>
          <w:lang w:val="en-GB"/>
        </w:rPr>
        <w:t xml:space="preserve">SBPM </w:t>
      </w:r>
      <w:r>
        <w:rPr>
          <w:lang w:val="en-GB"/>
        </w:rPr>
        <w:t>(</w:t>
      </w:r>
      <w:r w:rsidR="00847EBE" w:rsidRPr="00847EBE">
        <w:rPr>
          <w:lang w:val="en-GB"/>
        </w:rPr>
        <w:t>systematic bit priority matching</w:t>
      </w:r>
      <w:r>
        <w:rPr>
          <w:lang w:val="en-GB"/>
        </w:rPr>
        <w:t>)</w:t>
      </w:r>
      <w:r w:rsidR="001B17A1">
        <w:rPr>
          <w:lang w:val="en-GB"/>
        </w:rPr>
        <w:t xml:space="preserve"> interleaver</w:t>
      </w:r>
      <w:r w:rsidR="00847EBE" w:rsidRPr="00847EBE">
        <w:rPr>
          <w:lang w:val="en-GB"/>
        </w:rPr>
        <w:t xml:space="preserve"> aims to place systematic bits in </w:t>
      </w:r>
      <w:proofErr w:type="spellStart"/>
      <w:r w:rsidR="00847EBE" w:rsidRPr="00847EBE">
        <w:rPr>
          <w:lang w:val="en-GB"/>
        </w:rPr>
        <w:t>favorable</w:t>
      </w:r>
      <w:proofErr w:type="spellEnd"/>
      <w:r w:rsidR="00847EBE" w:rsidRPr="00847EBE">
        <w:rPr>
          <w:lang w:val="en-GB"/>
        </w:rPr>
        <w:t xml:space="preserve"> locations of a modulation symbol</w:t>
      </w:r>
      <w:r w:rsidR="001B17A1">
        <w:rPr>
          <w:lang w:val="en-GB"/>
        </w:rPr>
        <w:t>. This i</w:t>
      </w:r>
      <w:r w:rsidR="00847EBE" w:rsidRPr="00847EBE">
        <w:rPr>
          <w:lang w:val="en-GB"/>
        </w:rPr>
        <w:t xml:space="preserve">nterleaver is not </w:t>
      </w:r>
      <w:r w:rsidR="00847EBE" w:rsidRPr="00847EBE">
        <w:rPr>
          <w:lang w:val="en-GB"/>
        </w:rPr>
        <w:lastRenderedPageBreak/>
        <w:t>intended for time/</w:t>
      </w:r>
      <w:proofErr w:type="spellStart"/>
      <w:r w:rsidR="00847EBE" w:rsidRPr="00847EBE">
        <w:rPr>
          <w:lang w:val="en-GB"/>
        </w:rPr>
        <w:t>freq</w:t>
      </w:r>
      <w:proofErr w:type="spellEnd"/>
      <w:r w:rsidR="00847EBE" w:rsidRPr="00847EBE">
        <w:rPr>
          <w:lang w:val="en-GB"/>
        </w:rPr>
        <w:t xml:space="preserve"> diversity</w:t>
      </w:r>
      <w:r w:rsidR="001B17A1">
        <w:rPr>
          <w:lang w:val="en-GB"/>
        </w:rPr>
        <w:t xml:space="preserve">. It is a </w:t>
      </w:r>
      <w:r w:rsidR="00847EBE" w:rsidRPr="00847EBE">
        <w:rPr>
          <w:lang w:val="en-GB"/>
        </w:rPr>
        <w:t>simple row-column interleaver with depth equal to modulation order</w:t>
      </w:r>
      <w:r w:rsidR="001B17A1">
        <w:rPr>
          <w:lang w:val="en-GB"/>
        </w:rPr>
        <w:t xml:space="preserve">. Consequently, </w:t>
      </w:r>
      <w:r w:rsidR="00847EBE" w:rsidRPr="00847EBE">
        <w:rPr>
          <w:lang w:val="en-GB"/>
        </w:rPr>
        <w:t>Pi/2 BPSK</w:t>
      </w:r>
      <w:r w:rsidR="001B17A1">
        <w:rPr>
          <w:lang w:val="en-GB"/>
        </w:rPr>
        <w:t xml:space="preserve"> modulation</w:t>
      </w:r>
      <w:r w:rsidR="00847EBE" w:rsidRPr="00847EBE">
        <w:rPr>
          <w:lang w:val="en-GB"/>
        </w:rPr>
        <w:t xml:space="preserve"> has no interleaving</w:t>
      </w:r>
      <w:r w:rsidR="001B17A1">
        <w:rPr>
          <w:lang w:val="en-GB"/>
        </w:rPr>
        <w:t>.</w:t>
      </w:r>
    </w:p>
    <w:p w14:paraId="284765F5" w14:textId="6BC38FCE" w:rsidR="00EF709A" w:rsidRDefault="0066077E" w:rsidP="00EF709A">
      <w:pPr>
        <w:jc w:val="both"/>
      </w:pPr>
      <w:r>
        <w:t>In our view,</w:t>
      </w:r>
      <w:r w:rsidR="00EF709A">
        <w:t xml:space="preserve"> is desirable to perform rate matching for TBoMS on a per-slot basis. For example, </w:t>
      </w:r>
      <w:r w:rsidR="00DD0393">
        <w:t xml:space="preserve">consider the scenario </w:t>
      </w:r>
      <w:r w:rsidR="00EF709A">
        <w:t xml:space="preserve">in </w:t>
      </w:r>
      <w:r w:rsidR="001053B2">
        <w:fldChar w:fldCharType="begin"/>
      </w:r>
      <w:r w:rsidR="001053B2">
        <w:instrText xml:space="preserve"> REF _Ref71585111 \h </w:instrText>
      </w:r>
      <w:r w:rsidR="001053B2">
        <w:fldChar w:fldCharType="separate"/>
      </w:r>
      <w:r w:rsidR="00775476">
        <w:t xml:space="preserve">Figure </w:t>
      </w:r>
      <w:r w:rsidR="00775476">
        <w:rPr>
          <w:noProof/>
        </w:rPr>
        <w:t>4</w:t>
      </w:r>
      <w:r w:rsidR="001053B2">
        <w:fldChar w:fldCharType="end"/>
      </w:r>
      <w:r w:rsidR="00BC54F0">
        <w:t xml:space="preserve"> </w:t>
      </w:r>
      <w:r w:rsidR="00EF709A">
        <w:t xml:space="preserve">as a reference and focus on </w:t>
      </w:r>
      <w:r w:rsidR="000244F5">
        <w:t>the two consecutive slots assigned to TBoMS</w:t>
      </w:r>
      <w:r w:rsidR="00DD0393">
        <w:t xml:space="preserve">. </w:t>
      </w:r>
      <w:r w:rsidR="00287AEC">
        <w:t>T</w:t>
      </w:r>
      <w:r w:rsidR="00EF709A">
        <w:t xml:space="preserve">he mapping of the coded bits on the two slots is broken down into two steps. In the first step, the UE only performs rate matching for the first slot, i.e., using RV0 as a starting point, UE reads the number of coded bits required for the first slot from the circular buffer. UE </w:t>
      </w:r>
      <w:r w:rsidR="00D451CB">
        <w:t xml:space="preserve">may </w:t>
      </w:r>
      <w:r w:rsidR="00EF709A">
        <w:t xml:space="preserve">take note of the number of coded bits read from the circular buffer and uses this as a starting point for rate matching in subsequent slots. In the second step, the UE performs rate matching for the second slot by reading bits from the circular buffer using the last used coded bit in the first slot as a point of reference. This process is illustrated in </w:t>
      </w:r>
      <w:r w:rsidR="00EF709A">
        <w:fldChar w:fldCharType="begin"/>
      </w:r>
      <w:r w:rsidR="00EF709A">
        <w:instrText xml:space="preserve"> REF _Ref71585111 \h </w:instrText>
      </w:r>
      <w:r w:rsidR="00EF709A">
        <w:fldChar w:fldCharType="separate"/>
      </w:r>
      <w:r w:rsidR="00775476">
        <w:t xml:space="preserve">Figure </w:t>
      </w:r>
      <w:r w:rsidR="00775476">
        <w:rPr>
          <w:noProof/>
        </w:rPr>
        <w:t>4</w:t>
      </w:r>
      <w:r w:rsidR="00EF709A">
        <w:fldChar w:fldCharType="end"/>
      </w:r>
      <w:r w:rsidR="00EF709A">
        <w:t>.</w:t>
      </w:r>
    </w:p>
    <w:p w14:paraId="561F41FE" w14:textId="77777777" w:rsidR="00EF709A" w:rsidRDefault="00EF709A" w:rsidP="00EF709A">
      <w:pPr>
        <w:keepNext/>
        <w:jc w:val="center"/>
      </w:pPr>
      <w:r>
        <w:rPr>
          <w:noProof/>
        </w:rPr>
        <w:drawing>
          <wp:inline distT="0" distB="0" distL="0" distR="0" wp14:anchorId="7798A6C7" wp14:editId="36430FCA">
            <wp:extent cx="2762759" cy="452689"/>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8491" cy="494592"/>
                    </a:xfrm>
                    <a:prstGeom prst="rect">
                      <a:avLst/>
                    </a:prstGeom>
                    <a:noFill/>
                  </pic:spPr>
                </pic:pic>
              </a:graphicData>
            </a:graphic>
          </wp:inline>
        </w:drawing>
      </w:r>
      <w:r>
        <w:rPr>
          <w:noProof/>
        </w:rPr>
        <w:drawing>
          <wp:inline distT="0" distB="0" distL="0" distR="0" wp14:anchorId="45C176A6" wp14:editId="29F195F9">
            <wp:extent cx="4530566" cy="1632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4550143" cy="1639408"/>
                    </a:xfrm>
                    <a:prstGeom prst="rect">
                      <a:avLst/>
                    </a:prstGeom>
                    <a:noFill/>
                    <a:ln>
                      <a:noFill/>
                    </a:ln>
                    <a:extLst>
                      <a:ext uri="{53640926-AAD7-44D8-BBD7-CCE9431645EC}">
                        <a14:shadowObscured xmlns:a14="http://schemas.microsoft.com/office/drawing/2010/main"/>
                      </a:ext>
                    </a:extLst>
                  </pic:spPr>
                </pic:pic>
              </a:graphicData>
            </a:graphic>
          </wp:inline>
        </w:drawing>
      </w:r>
    </w:p>
    <w:p w14:paraId="08338CE3" w14:textId="24014F90" w:rsidR="00EF709A" w:rsidRDefault="00EF709A" w:rsidP="00EF709A">
      <w:pPr>
        <w:pStyle w:val="Caption"/>
        <w:jc w:val="center"/>
      </w:pPr>
      <w:bookmarkStart w:id="4" w:name="_Ref71585111"/>
      <w:r>
        <w:t xml:space="preserve">Figure </w:t>
      </w:r>
      <w:r>
        <w:fldChar w:fldCharType="begin"/>
      </w:r>
      <w:r>
        <w:instrText xml:space="preserve"> SEQ Figure \* ARABIC </w:instrText>
      </w:r>
      <w:r>
        <w:fldChar w:fldCharType="separate"/>
      </w:r>
      <w:r w:rsidR="00D84414">
        <w:rPr>
          <w:noProof/>
        </w:rPr>
        <w:t>4</w:t>
      </w:r>
      <w:r>
        <w:fldChar w:fldCharType="end"/>
      </w:r>
      <w:bookmarkEnd w:id="4"/>
      <w:r>
        <w:t xml:space="preserve"> Per-Slot Rate Matching in TBoMS</w:t>
      </w:r>
    </w:p>
    <w:p w14:paraId="3CB08B40" w14:textId="086CE14A" w:rsidR="00EF709A" w:rsidRDefault="00EF709A" w:rsidP="00EF709A">
      <w:r>
        <w:t>Per-slot rate matching has the advantage of being able to accommodate existing features such as UCI multiplexing and UL</w:t>
      </w:r>
      <w:r w:rsidR="00B303B6">
        <w:t>-</w:t>
      </w:r>
      <w:r>
        <w:t>CI with minimal specification impact. With these advantages in mind, we make the following proposal:</w:t>
      </w:r>
    </w:p>
    <w:p w14:paraId="5BDAE539" w14:textId="77F22708" w:rsidR="00EF709A" w:rsidRDefault="00EF709A" w:rsidP="00EF709A">
      <w:r w:rsidRPr="00FD2096">
        <w:rPr>
          <w:b/>
          <w:bCs/>
        </w:rPr>
        <w:t>Proposal</w:t>
      </w:r>
      <w:r>
        <w:rPr>
          <w:b/>
          <w:bCs/>
        </w:rPr>
        <w:t xml:space="preserve"> </w:t>
      </w:r>
      <w:r w:rsidR="00A14498">
        <w:rPr>
          <w:b/>
          <w:bCs/>
        </w:rPr>
        <w:t>2</w:t>
      </w:r>
      <w:r w:rsidRPr="00FD2096">
        <w:rPr>
          <w:b/>
          <w:bCs/>
        </w:rPr>
        <w:t>:</w:t>
      </w:r>
      <w:r>
        <w:t xml:space="preserve"> Adopt per-slot rate matching for TBoMS</w:t>
      </w:r>
      <w:r w:rsidR="00BD1359">
        <w:t xml:space="preserve"> transmission</w:t>
      </w:r>
      <w:r>
        <w:t>.</w:t>
      </w:r>
    </w:p>
    <w:p w14:paraId="3C0DB074" w14:textId="5EDE5BE8" w:rsidR="00BC2D8E" w:rsidRDefault="00A915D8" w:rsidP="00304EE6">
      <w:r>
        <w:t xml:space="preserve">Rate matching across all slots of a single TBoMS is </w:t>
      </w:r>
      <w:r w:rsidR="00CD7692">
        <w:t>presented as a better alternative from a diver</w:t>
      </w:r>
      <w:r w:rsidR="00460C1E">
        <w:t>sity standpoint and for better resilience against cancellation/dropping</w:t>
      </w:r>
      <w:r w:rsidR="00B32147">
        <w:t xml:space="preserve"> in some slots. </w:t>
      </w:r>
      <w:r w:rsidR="00BC2D8E">
        <w:t xml:space="preserve">It is mentioned that rate matching across all slots lets systematic bits be transmitted </w:t>
      </w:r>
      <w:r w:rsidR="00A33AB9">
        <w:t xml:space="preserve">over multiple slots, just making sure the systematic bits are all not lost in the </w:t>
      </w:r>
      <w:proofErr w:type="spellStart"/>
      <w:r w:rsidR="00A33AB9">
        <w:t>even</w:t>
      </w:r>
      <w:proofErr w:type="spellEnd"/>
      <w:r w:rsidR="00A33AB9">
        <w:t xml:space="preserve"> of a cancellation/dropping.</w:t>
      </w:r>
    </w:p>
    <w:p w14:paraId="52D1DFAE" w14:textId="6B83A244" w:rsidR="00304EE6" w:rsidRDefault="00B32147" w:rsidP="00304EE6">
      <w:pPr>
        <w:rPr>
          <w:lang w:val="en-GB"/>
        </w:rPr>
      </w:pPr>
      <w:r>
        <w:t xml:space="preserve">We </w:t>
      </w:r>
      <w:r w:rsidR="00304EE6">
        <w:t>offer the following counterpoints</w:t>
      </w:r>
      <w:r w:rsidR="001800B9">
        <w:t xml:space="preserve"> to the above argument</w:t>
      </w:r>
      <w:r w:rsidR="00304EE6">
        <w:t>:</w:t>
      </w:r>
    </w:p>
    <w:p w14:paraId="03C846D7" w14:textId="40CE02C9" w:rsidR="00A825E3" w:rsidRDefault="00364D8F" w:rsidP="0066077E">
      <w:pPr>
        <w:pStyle w:val="ListParagraph"/>
        <w:numPr>
          <w:ilvl w:val="0"/>
          <w:numId w:val="45"/>
        </w:numPr>
        <w:rPr>
          <w:lang w:val="en-GB"/>
        </w:rPr>
      </w:pPr>
      <w:r>
        <w:rPr>
          <w:lang w:val="en-GB"/>
        </w:rPr>
        <w:t>R</w:t>
      </w:r>
      <w:r w:rsidR="00A825E3">
        <w:rPr>
          <w:lang w:val="en-GB"/>
        </w:rPr>
        <w:t>ate matching across slots brings no benefit to pi/2 BPSK</w:t>
      </w:r>
      <w:r w:rsidR="00B45612">
        <w:rPr>
          <w:lang w:val="en-GB"/>
        </w:rPr>
        <w:t>-based transmissions a</w:t>
      </w:r>
      <w:r w:rsidR="0005667D">
        <w:rPr>
          <w:lang w:val="en-GB"/>
        </w:rPr>
        <w:t>s interleaver depth is dependent on modulation order</w:t>
      </w:r>
      <w:r w:rsidR="001800B9">
        <w:rPr>
          <w:lang w:val="en-GB"/>
        </w:rPr>
        <w:t xml:space="preserve"> and no interleaving occurs</w:t>
      </w:r>
      <w:r w:rsidR="0005667D">
        <w:rPr>
          <w:lang w:val="en-GB"/>
        </w:rPr>
        <w:t xml:space="preserve">. </w:t>
      </w:r>
      <w:r w:rsidR="00A7340A">
        <w:rPr>
          <w:lang w:val="en-GB"/>
        </w:rPr>
        <w:t>We are introducing more complexity with nothing to gain for it.</w:t>
      </w:r>
    </w:p>
    <w:p w14:paraId="56F874FF" w14:textId="4843FEAC" w:rsidR="00A7340A" w:rsidRDefault="00A7340A" w:rsidP="0066077E">
      <w:pPr>
        <w:pStyle w:val="ListParagraph"/>
        <w:numPr>
          <w:ilvl w:val="0"/>
          <w:numId w:val="45"/>
        </w:numPr>
        <w:rPr>
          <w:lang w:val="en-GB"/>
        </w:rPr>
      </w:pPr>
      <w:r>
        <w:rPr>
          <w:lang w:val="en-GB"/>
        </w:rPr>
        <w:t xml:space="preserve">Rate matching across slots brings no benefit to </w:t>
      </w:r>
      <w:r w:rsidR="00610E19">
        <w:rPr>
          <w:lang w:val="en-GB"/>
        </w:rPr>
        <w:t xml:space="preserve">some of </w:t>
      </w:r>
      <w:r w:rsidR="003C3E9E">
        <w:rPr>
          <w:lang w:val="en-GB"/>
        </w:rPr>
        <w:t>the lowest</w:t>
      </w:r>
      <w:r w:rsidR="006547F4">
        <w:rPr>
          <w:lang w:val="en-GB"/>
        </w:rPr>
        <w:t xml:space="preserve"> MCS values with QPSK. Consider</w:t>
      </w:r>
      <w:r w:rsidR="00445733">
        <w:rPr>
          <w:lang w:val="en-GB"/>
        </w:rPr>
        <w:t xml:space="preserve"> a 4-slot TBOMS, with 12 symbol/slot, MCS 0 (QPSK)</w:t>
      </w:r>
      <w:r w:rsidR="00EC4EC5">
        <w:rPr>
          <w:lang w:val="en-GB"/>
        </w:rPr>
        <w:t xml:space="preserve"> and scale factor of 4. </w:t>
      </w:r>
      <w:proofErr w:type="spellStart"/>
      <w:r w:rsidR="00EC4EC5">
        <w:rPr>
          <w:lang w:val="en-GB"/>
        </w:rPr>
        <w:t>Its</w:t>
      </w:r>
      <w:proofErr w:type="spellEnd"/>
      <w:r w:rsidR="00EC4EC5">
        <w:rPr>
          <w:lang w:val="en-GB"/>
        </w:rPr>
        <w:t xml:space="preserve"> clear that a depth-2 interleaver </w:t>
      </w:r>
      <w:r w:rsidR="003C3E9E">
        <w:rPr>
          <w:lang w:val="en-GB"/>
        </w:rPr>
        <w:t xml:space="preserve">is insufficient </w:t>
      </w:r>
      <w:r w:rsidR="00610E19">
        <w:rPr>
          <w:lang w:val="en-GB"/>
        </w:rPr>
        <w:t xml:space="preserve">to </w:t>
      </w:r>
      <w:r w:rsidR="00D34A2E">
        <w:rPr>
          <w:lang w:val="en-GB"/>
        </w:rPr>
        <w:t xml:space="preserve">distribute </w:t>
      </w:r>
      <w:r w:rsidR="00BF37F3">
        <w:rPr>
          <w:lang w:val="en-GB"/>
        </w:rPr>
        <w:t>systematic bits across multiple slots.</w:t>
      </w:r>
    </w:p>
    <w:p w14:paraId="3447DB97" w14:textId="77777777" w:rsidR="00DB3292" w:rsidRDefault="00DB3292" w:rsidP="00DB3292">
      <w:pPr>
        <w:pStyle w:val="ListParagraph"/>
        <w:numPr>
          <w:ilvl w:val="0"/>
          <w:numId w:val="45"/>
        </w:numPr>
        <w:rPr>
          <w:lang w:val="en-GB"/>
        </w:rPr>
      </w:pPr>
      <w:r>
        <w:rPr>
          <w:lang w:val="en-GB"/>
        </w:rPr>
        <w:t xml:space="preserve">Certain </w:t>
      </w:r>
      <w:proofErr w:type="spellStart"/>
      <w:r>
        <w:rPr>
          <w:lang w:val="en-GB"/>
        </w:rPr>
        <w:t>gNBs</w:t>
      </w:r>
      <w:proofErr w:type="spellEnd"/>
      <w:r>
        <w:rPr>
          <w:lang w:val="en-GB"/>
        </w:rPr>
        <w:t xml:space="preserve"> with smart schedulers may offer additional protection to the first slot of a TBoMS transmission. For such smart schedulers, its preferable to have all/majority of systematic bits be transmitted in the first slot. A gNB scheduler that is quite consistently unable to guarantee the transmission of the first slot does not seem like a good design.</w:t>
      </w:r>
    </w:p>
    <w:p w14:paraId="5F2DA0EC" w14:textId="7A72554F" w:rsidR="004F53F3" w:rsidRDefault="00BF37F3" w:rsidP="0066077E">
      <w:pPr>
        <w:pStyle w:val="ListParagraph"/>
        <w:numPr>
          <w:ilvl w:val="0"/>
          <w:numId w:val="45"/>
        </w:numPr>
        <w:rPr>
          <w:lang w:val="en-GB"/>
        </w:rPr>
      </w:pPr>
      <w:r>
        <w:rPr>
          <w:lang w:val="en-GB"/>
        </w:rPr>
        <w:t>R</w:t>
      </w:r>
      <w:r w:rsidR="00364D8F">
        <w:rPr>
          <w:lang w:val="en-GB"/>
        </w:rPr>
        <w:t xml:space="preserve">ate matching across slots is </w:t>
      </w:r>
      <w:r w:rsidR="002105D5">
        <w:rPr>
          <w:lang w:val="en-GB"/>
        </w:rPr>
        <w:t>not a good option</w:t>
      </w:r>
      <w:r w:rsidR="00364D8F">
        <w:rPr>
          <w:lang w:val="en-GB"/>
        </w:rPr>
        <w:t xml:space="preserve"> for multi-CB scenarios. </w:t>
      </w:r>
      <w:r w:rsidR="00CD4CDD">
        <w:rPr>
          <w:lang w:val="en-GB"/>
        </w:rPr>
        <w:t>It</w:t>
      </w:r>
      <w:r w:rsidR="004F53F3">
        <w:rPr>
          <w:lang w:val="en-GB"/>
        </w:rPr>
        <w:t xml:space="preserve"> localizes the bits assigned to a single CB. Th</w:t>
      </w:r>
      <w:r w:rsidR="00A87A9E">
        <w:rPr>
          <w:lang w:val="en-GB"/>
        </w:rPr>
        <w:t xml:space="preserve">us, dropping a single slot has a large impact on a single CB, leading to </w:t>
      </w:r>
      <w:r w:rsidR="003B526E">
        <w:rPr>
          <w:lang w:val="en-GB"/>
        </w:rPr>
        <w:t>more likelihood of the entire TB not getting decoded.</w:t>
      </w:r>
    </w:p>
    <w:p w14:paraId="6E95AE8A" w14:textId="0F3FA553" w:rsidR="00CD4CDD" w:rsidRDefault="00CD4CDD" w:rsidP="0066077E">
      <w:pPr>
        <w:pStyle w:val="ListParagraph"/>
        <w:numPr>
          <w:ilvl w:val="0"/>
          <w:numId w:val="45"/>
        </w:numPr>
        <w:rPr>
          <w:lang w:val="en-GB"/>
        </w:rPr>
      </w:pPr>
      <w:r>
        <w:rPr>
          <w:lang w:val="en-GB"/>
        </w:rPr>
        <w:t xml:space="preserve">Rate matching across slots </w:t>
      </w:r>
      <w:r w:rsidR="00E64C16">
        <w:rPr>
          <w:lang w:val="en-GB"/>
        </w:rPr>
        <w:t>is</w:t>
      </w:r>
      <w:r>
        <w:rPr>
          <w:lang w:val="en-GB"/>
        </w:rPr>
        <w:t xml:space="preserve"> incompatib</w:t>
      </w:r>
      <w:r w:rsidR="005C0EE2">
        <w:rPr>
          <w:lang w:val="en-GB"/>
        </w:rPr>
        <w:t>le</w:t>
      </w:r>
      <w:r>
        <w:rPr>
          <w:lang w:val="en-GB"/>
        </w:rPr>
        <w:t xml:space="preserve"> with several other spec features such as UCI multiplexing, UL-CI, intra-UE prioritization, etc. Several spec features are designed around per-slot </w:t>
      </w:r>
      <w:r w:rsidR="005C0EE2">
        <w:rPr>
          <w:lang w:val="en-GB"/>
        </w:rPr>
        <w:t>modularity and</w:t>
      </w:r>
      <w:r>
        <w:rPr>
          <w:lang w:val="en-GB"/>
        </w:rPr>
        <w:t xml:space="preserve"> deviating from this core philosophy would mean revisiting and revising how these features operate at a basic level.</w:t>
      </w:r>
    </w:p>
    <w:p w14:paraId="1F297B55" w14:textId="7056BCF8" w:rsidR="0066077E" w:rsidRDefault="00461B98" w:rsidP="0066077E">
      <w:pPr>
        <w:pStyle w:val="ListParagraph"/>
        <w:numPr>
          <w:ilvl w:val="0"/>
          <w:numId w:val="45"/>
        </w:numPr>
        <w:rPr>
          <w:lang w:val="en-GB"/>
        </w:rPr>
      </w:pPr>
      <w:r>
        <w:rPr>
          <w:lang w:val="en-GB"/>
        </w:rPr>
        <w:t>Rate matching across slots requires a new hardware block to be introduced ---</w:t>
      </w:r>
      <w:r w:rsidR="0066077E">
        <w:rPr>
          <w:lang w:val="en-GB"/>
        </w:rPr>
        <w:t xml:space="preserve"> a new “</w:t>
      </w:r>
      <w:r w:rsidR="00FC5530">
        <w:rPr>
          <w:lang w:val="en-GB"/>
        </w:rPr>
        <w:t xml:space="preserve">cross-slot </w:t>
      </w:r>
      <w:r w:rsidR="0066077E">
        <w:rPr>
          <w:lang w:val="en-GB"/>
        </w:rPr>
        <w:t>interleave</w:t>
      </w:r>
      <w:r w:rsidR="00FC5530">
        <w:rPr>
          <w:lang w:val="en-GB"/>
        </w:rPr>
        <w:t>d</w:t>
      </w:r>
      <w:r w:rsidR="0066077E">
        <w:rPr>
          <w:lang w:val="en-GB"/>
        </w:rPr>
        <w:t xml:space="preserve"> bit’ buffer</w:t>
      </w:r>
      <w:r w:rsidR="00FC5530">
        <w:rPr>
          <w:lang w:val="en-GB"/>
        </w:rPr>
        <w:t xml:space="preserve"> is </w:t>
      </w:r>
      <w:proofErr w:type="gramStart"/>
      <w:r w:rsidR="00FC5530">
        <w:rPr>
          <w:lang w:val="en-GB"/>
        </w:rPr>
        <w:t>requires</w:t>
      </w:r>
      <w:proofErr w:type="gramEnd"/>
      <w:r w:rsidR="00FC5530">
        <w:rPr>
          <w:lang w:val="en-GB"/>
        </w:rPr>
        <w:t>. Framework to populate and maintain this buffer across slots needs to be developed.</w:t>
      </w:r>
      <w:r w:rsidR="00DB12E0">
        <w:rPr>
          <w:lang w:val="en-GB"/>
        </w:rPr>
        <w:t xml:space="preserve"> Managing interleaved bits across non-contiguous slots is </w:t>
      </w:r>
      <w:r w:rsidR="00653D8A">
        <w:rPr>
          <w:lang w:val="en-GB"/>
        </w:rPr>
        <w:t>likely to be challenging.</w:t>
      </w:r>
    </w:p>
    <w:p w14:paraId="20F3D6C0" w14:textId="77777777" w:rsidR="00B7068E" w:rsidRDefault="00B7068E" w:rsidP="00B7068E">
      <w:pPr>
        <w:pStyle w:val="ListParagraph"/>
        <w:numPr>
          <w:ilvl w:val="0"/>
          <w:numId w:val="45"/>
        </w:numPr>
        <w:rPr>
          <w:lang w:val="en-GB"/>
        </w:rPr>
      </w:pPr>
      <w:r>
        <w:rPr>
          <w:lang w:val="en-GB"/>
        </w:rPr>
        <w:t>Rate matching across slots makes resuming transmissions (in the next slot) after cancellation in a slot more challenging due to intricacies around handling ‘</w:t>
      </w:r>
      <w:proofErr w:type="spellStart"/>
      <w:r>
        <w:rPr>
          <w:lang w:val="en-GB"/>
        </w:rPr>
        <w:t>untransmitted</w:t>
      </w:r>
      <w:proofErr w:type="spellEnd"/>
      <w:r>
        <w:rPr>
          <w:lang w:val="en-GB"/>
        </w:rPr>
        <w:t>’ bits in a slot.</w:t>
      </w:r>
    </w:p>
    <w:p w14:paraId="6747736C" w14:textId="13E42551" w:rsidR="00043EFF" w:rsidRDefault="00565401" w:rsidP="007813A5">
      <w:pPr>
        <w:pStyle w:val="ListParagraph"/>
        <w:numPr>
          <w:ilvl w:val="0"/>
          <w:numId w:val="45"/>
        </w:numPr>
        <w:rPr>
          <w:lang w:val="en-GB"/>
        </w:rPr>
      </w:pPr>
      <w:r>
        <w:rPr>
          <w:lang w:val="en-GB"/>
        </w:rPr>
        <w:lastRenderedPageBreak/>
        <w:t>Early termination of a TBoMS transmission is not possible un</w:t>
      </w:r>
      <w:r w:rsidR="00B616D2">
        <w:rPr>
          <w:lang w:val="en-GB"/>
        </w:rPr>
        <w:t xml:space="preserve">til all slots have been transmitted as the </w:t>
      </w:r>
      <w:r w:rsidR="008039B6">
        <w:rPr>
          <w:lang w:val="en-GB"/>
        </w:rPr>
        <w:t xml:space="preserve">information of the last CB is contained in the last slot. With rate matching per slot, all CBs get a portion of the resources </w:t>
      </w:r>
      <w:r w:rsidR="004B13B6">
        <w:rPr>
          <w:lang w:val="en-GB"/>
        </w:rPr>
        <w:t>in each slot, thus making early termination possible.</w:t>
      </w:r>
    </w:p>
    <w:p w14:paraId="327847D4" w14:textId="3EE3ACE2" w:rsidR="007813A5" w:rsidRDefault="007813A5" w:rsidP="007813A5">
      <w:pPr>
        <w:pStyle w:val="ListParagraph"/>
        <w:numPr>
          <w:ilvl w:val="0"/>
          <w:numId w:val="45"/>
        </w:numPr>
        <w:rPr>
          <w:lang w:val="en-GB"/>
        </w:rPr>
      </w:pPr>
      <w:r>
        <w:rPr>
          <w:lang w:val="en-GB"/>
        </w:rPr>
        <w:t xml:space="preserve">Repetitions of TBOMS offer an elegant mechanism to retransmit systematic bits in case </w:t>
      </w:r>
      <w:r w:rsidR="008E7FEA">
        <w:rPr>
          <w:lang w:val="en-GB"/>
        </w:rPr>
        <w:t xml:space="preserve">slots </w:t>
      </w:r>
      <w:r w:rsidR="005855E4">
        <w:rPr>
          <w:lang w:val="en-GB"/>
        </w:rPr>
        <w:t xml:space="preserve">can be </w:t>
      </w:r>
      <w:r w:rsidR="008E7FEA">
        <w:rPr>
          <w:lang w:val="en-GB"/>
        </w:rPr>
        <w:t>lost to cancellation/dropping.</w:t>
      </w:r>
    </w:p>
    <w:p w14:paraId="4988A661" w14:textId="0FC0ACD0" w:rsidR="008E7FEA" w:rsidRPr="008E7FEA" w:rsidRDefault="008E7FEA" w:rsidP="008E7FEA">
      <w:pPr>
        <w:rPr>
          <w:lang w:val="en-GB"/>
        </w:rPr>
      </w:pPr>
      <w:r>
        <w:rPr>
          <w:lang w:val="en-GB"/>
        </w:rPr>
        <w:t xml:space="preserve">We </w:t>
      </w:r>
      <w:r w:rsidR="00B937A1">
        <w:rPr>
          <w:lang w:val="en-GB"/>
        </w:rPr>
        <w:t xml:space="preserve">further present simulation results for certain 4-slot TBOMS scenarios where it is seen that (a) no appreciable diversity gains are seen </w:t>
      </w:r>
      <w:r w:rsidR="00794973">
        <w:rPr>
          <w:lang w:val="en-GB"/>
        </w:rPr>
        <w:t xml:space="preserve">between the two options. Further dropping a slot equally impacts both options for low MCS scenarios where interleaver depth is </w:t>
      </w:r>
      <w:r w:rsidR="00A75AEE">
        <w:rPr>
          <w:lang w:val="en-GB"/>
        </w:rPr>
        <w:t xml:space="preserve">insufficient. </w:t>
      </w:r>
    </w:p>
    <w:p w14:paraId="600CDF9D" w14:textId="77777777" w:rsidR="002770D8" w:rsidRDefault="009F2B59" w:rsidP="002770D8">
      <w:pPr>
        <w:keepNext/>
        <w:jc w:val="center"/>
      </w:pPr>
      <w:r>
        <w:rPr>
          <w:noProof/>
        </w:rPr>
        <w:drawing>
          <wp:inline distT="0" distB="0" distL="0" distR="0" wp14:anchorId="4F1491E9" wp14:editId="01037852">
            <wp:extent cx="3189131" cy="2331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5405" cy="2343781"/>
                    </a:xfrm>
                    <a:prstGeom prst="rect">
                      <a:avLst/>
                    </a:prstGeom>
                  </pic:spPr>
                </pic:pic>
              </a:graphicData>
            </a:graphic>
          </wp:inline>
        </w:drawing>
      </w:r>
    </w:p>
    <w:p w14:paraId="3D7755F5" w14:textId="43068741" w:rsidR="0066077E" w:rsidRDefault="002770D8" w:rsidP="002770D8">
      <w:pPr>
        <w:pStyle w:val="Caption"/>
        <w:jc w:val="center"/>
      </w:pPr>
      <w:r>
        <w:t xml:space="preserve">Figure </w:t>
      </w:r>
      <w:r>
        <w:fldChar w:fldCharType="begin"/>
      </w:r>
      <w:r>
        <w:instrText xml:space="preserve"> SEQ Figure \* ARABIC </w:instrText>
      </w:r>
      <w:r>
        <w:fldChar w:fldCharType="separate"/>
      </w:r>
      <w:r w:rsidR="00D84414">
        <w:rPr>
          <w:noProof/>
        </w:rPr>
        <w:t>5</w:t>
      </w:r>
      <w:r>
        <w:fldChar w:fldCharType="end"/>
      </w:r>
      <w:r>
        <w:t xml:space="preserve"> Performance comparison</w:t>
      </w:r>
      <w:r w:rsidR="001814E8">
        <w:t xml:space="preserve"> (TBER vs CINR)</w:t>
      </w:r>
      <w:r>
        <w:t xml:space="preserve"> between rate matching per slot and rate matching across slots for a low MCS 4 slot-TBOMS scenario with and without slot dropping. </w:t>
      </w:r>
      <w:r w:rsidR="00D84414">
        <w:t>N</w:t>
      </w:r>
      <w:r>
        <w:t>o appreciate diversity gains are seen. Dropping a slot equally deteriorates perform</w:t>
      </w:r>
      <w:r w:rsidR="00D84414">
        <w:t>ance in both cases.</w:t>
      </w:r>
    </w:p>
    <w:p w14:paraId="20EDE7EC" w14:textId="79CF4849" w:rsidR="00A75AEE" w:rsidRPr="00A75AEE" w:rsidRDefault="00A75AEE" w:rsidP="00A75AEE">
      <w:pPr>
        <w:rPr>
          <w:lang w:val="en-GB"/>
        </w:rPr>
      </w:pPr>
      <w:r>
        <w:rPr>
          <w:lang w:val="en-GB"/>
        </w:rPr>
        <w:t xml:space="preserve">Additionally, for </w:t>
      </w:r>
      <w:r w:rsidR="002576F0">
        <w:rPr>
          <w:lang w:val="en-GB"/>
        </w:rPr>
        <w:t>gNB schedulers that are able to better protect the first slot of transmission (this is</w:t>
      </w:r>
      <w:r w:rsidR="007C04D9">
        <w:rPr>
          <w:lang w:val="en-GB"/>
        </w:rPr>
        <w:t xml:space="preserve"> likely the more typical </w:t>
      </w:r>
      <w:proofErr w:type="gramStart"/>
      <w:r w:rsidR="007C04D9">
        <w:rPr>
          <w:lang w:val="en-GB"/>
        </w:rPr>
        <w:t>real world</w:t>
      </w:r>
      <w:proofErr w:type="gramEnd"/>
      <w:r w:rsidR="007C04D9">
        <w:rPr>
          <w:lang w:val="en-GB"/>
        </w:rPr>
        <w:t xml:space="preserve"> setting)</w:t>
      </w:r>
      <w:r w:rsidR="002576F0">
        <w:rPr>
          <w:lang w:val="en-GB"/>
        </w:rPr>
        <w:t>, once again no performance differences are seen between the two options.</w:t>
      </w:r>
    </w:p>
    <w:p w14:paraId="1A314113" w14:textId="77777777" w:rsidR="00D84414" w:rsidRDefault="00140246" w:rsidP="00D84414">
      <w:pPr>
        <w:keepNext/>
        <w:jc w:val="center"/>
      </w:pPr>
      <w:r w:rsidRPr="00140246">
        <w:rPr>
          <w:noProof/>
        </w:rPr>
        <w:drawing>
          <wp:inline distT="0" distB="0" distL="0" distR="0" wp14:anchorId="6AED084C" wp14:editId="09C0C184">
            <wp:extent cx="3193382" cy="2387530"/>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17388" cy="2405478"/>
                    </a:xfrm>
                    <a:prstGeom prst="rect">
                      <a:avLst/>
                    </a:prstGeom>
                  </pic:spPr>
                </pic:pic>
              </a:graphicData>
            </a:graphic>
          </wp:inline>
        </w:drawing>
      </w:r>
    </w:p>
    <w:p w14:paraId="1BD29C4C" w14:textId="4D484902" w:rsidR="00140246" w:rsidRDefault="00D84414" w:rsidP="00D84414">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w:t>
      </w:r>
      <w:r w:rsidRPr="0035603B">
        <w:t>Performance comparison between rate matching per slot and rate matching across slots for a low MCS 4 slot-TBOMS scenario with and without slot dropping</w:t>
      </w:r>
      <w:r>
        <w:t xml:space="preserve"> (first slot protected</w:t>
      </w:r>
      <w:r w:rsidR="00043EFF">
        <w:t xml:space="preserve"> always</w:t>
      </w:r>
      <w:r>
        <w:t>)</w:t>
      </w:r>
      <w:r w:rsidRPr="0035603B">
        <w:t>. No appreciate diversity gains are seen. Dropping a slot equally deteriorates performance in both cas</w:t>
      </w:r>
      <w:r w:rsidR="00043EFF">
        <w:t>es.</w:t>
      </w:r>
    </w:p>
    <w:p w14:paraId="40586DF0" w14:textId="76E03D09" w:rsidR="00140246" w:rsidRDefault="008B7338" w:rsidP="00EF709A">
      <w:r w:rsidRPr="009E75A5">
        <w:rPr>
          <w:b/>
          <w:bCs/>
        </w:rPr>
        <w:t>Observation</w:t>
      </w:r>
      <w:r w:rsidR="00407D16">
        <w:rPr>
          <w:b/>
          <w:bCs/>
        </w:rPr>
        <w:t xml:space="preserve"> 1</w:t>
      </w:r>
      <w:r w:rsidRPr="009E75A5">
        <w:rPr>
          <w:b/>
          <w:bCs/>
        </w:rPr>
        <w:t>:</w:t>
      </w:r>
      <w:r>
        <w:t xml:space="preserve"> Rate matching across slots </w:t>
      </w:r>
      <w:r w:rsidR="00B94315">
        <w:t>is</w:t>
      </w:r>
      <w:r>
        <w:t xml:space="preserve"> unlikely to benefit gNB schedulers that ensure </w:t>
      </w:r>
      <w:r w:rsidR="0043553E">
        <w:t xml:space="preserve">transmission of the </w:t>
      </w:r>
      <w:r>
        <w:t>first slot of a TBoMS</w:t>
      </w:r>
      <w:r w:rsidR="0043553E">
        <w:t>. No appreciable diversity gains are noticed.</w:t>
      </w:r>
    </w:p>
    <w:p w14:paraId="1443FD96" w14:textId="77777777" w:rsidR="00570D55" w:rsidRPr="00F71D56" w:rsidRDefault="00570D55" w:rsidP="00A7023D">
      <w:pPr>
        <w:pStyle w:val="Heading2"/>
      </w:pPr>
      <w:r>
        <w:t>Predetermination of starting bit for each slot</w:t>
      </w:r>
    </w:p>
    <w:p w14:paraId="10C317E3" w14:textId="77777777" w:rsidR="00570D55" w:rsidRDefault="00570D55" w:rsidP="00570D55">
      <w:pPr>
        <w:jc w:val="both"/>
        <w:rPr>
          <w:bCs/>
        </w:rPr>
      </w:pPr>
      <w:r>
        <w:rPr>
          <w:bCs/>
        </w:rPr>
        <w:t xml:space="preserve">When exactly a UE determines the sequence of coded bits to transmit in each slot of TBoMS transmission. Many companies have proposed an “on the fly” determination that dynamically considers the number of coded bits used in the preceding slots of TBoMS transmission. Such a process can </w:t>
      </w:r>
      <w:proofErr w:type="gramStart"/>
      <w:r>
        <w:rPr>
          <w:bCs/>
        </w:rPr>
        <w:t>lead</w:t>
      </w:r>
      <w:proofErr w:type="gramEnd"/>
      <w:r>
        <w:rPr>
          <w:bCs/>
        </w:rPr>
        <w:t xml:space="preserve"> to error propagation across multiple slots of a TBoMS transmission and is not desirable. </w:t>
      </w:r>
    </w:p>
    <w:p w14:paraId="27780CF3" w14:textId="1165A7A9" w:rsidR="00570D55" w:rsidRDefault="00570D55" w:rsidP="00570D55">
      <w:pPr>
        <w:jc w:val="both"/>
        <w:rPr>
          <w:bCs/>
        </w:rPr>
      </w:pPr>
      <w:r>
        <w:rPr>
          <w:bCs/>
        </w:rPr>
        <w:lastRenderedPageBreak/>
        <w:t xml:space="preserve">For example, consider a 4 slot TBoMS transmission as in </w:t>
      </w:r>
      <w:r>
        <w:rPr>
          <w:bCs/>
        </w:rPr>
        <w:fldChar w:fldCharType="begin"/>
      </w:r>
      <w:r>
        <w:rPr>
          <w:bCs/>
        </w:rPr>
        <w:instrText xml:space="preserve"> REF _Ref79141866 \h </w:instrText>
      </w:r>
      <w:r>
        <w:rPr>
          <w:bCs/>
        </w:rPr>
      </w:r>
      <w:r>
        <w:rPr>
          <w:bCs/>
        </w:rPr>
        <w:fldChar w:fldCharType="separate"/>
      </w:r>
      <w:r w:rsidR="00775476">
        <w:t xml:space="preserve">Figure </w:t>
      </w:r>
      <w:r w:rsidR="00775476">
        <w:rPr>
          <w:noProof/>
        </w:rPr>
        <w:t>5</w:t>
      </w:r>
      <w:r>
        <w:rPr>
          <w:bCs/>
        </w:rPr>
        <w:fldChar w:fldCharType="end"/>
      </w:r>
      <w:r>
        <w:rPr>
          <w:bCs/>
        </w:rPr>
        <w:t xml:space="preserve">. Now assume that a UCI payload needs to be multiplexed in the second transmission occasion. There could arise scenarios where the UE and gNB are not in full alignment on the UCI payload size or the resource partitioning between UCI and UL-SCH. As an example, such scenarios could arise due to UE missing some DCIs carrying downlink grant, thereby causing a mismatch in HARQ codebook size determination. A similar scenario occurs when a UE misses a grant requesting an A-CSI report. Once a misalignment occurs between the gNB and the UE on a given slot, then gNB and UE are no longer in agreement on the number of coded bits transmitted </w:t>
      </w:r>
      <w:proofErr w:type="gramStart"/>
      <w:r>
        <w:rPr>
          <w:bCs/>
        </w:rPr>
        <w:t>in a given</w:t>
      </w:r>
      <w:proofErr w:type="gramEnd"/>
      <w:r>
        <w:rPr>
          <w:bCs/>
        </w:rPr>
        <w:t xml:space="preserve"> slot and all subsequent slots are impacted with no means to correct for this error.  </w:t>
      </w:r>
    </w:p>
    <w:p w14:paraId="43958392" w14:textId="77777777" w:rsidR="00570D55" w:rsidRDefault="00570D55" w:rsidP="00570D55">
      <w:pPr>
        <w:jc w:val="both"/>
        <w:rPr>
          <w:bCs/>
        </w:rPr>
      </w:pPr>
      <w:r>
        <w:rPr>
          <w:bCs/>
        </w:rPr>
        <w:t xml:space="preserve">We therefore propose that in lieu of an “on the fly” determination of the coded bits to be transmitted on a given slot, the starting bit location for each slot be predetermined prior to the start of the TBoMS transmission. </w:t>
      </w:r>
    </w:p>
    <w:p w14:paraId="59E541D8" w14:textId="77777777" w:rsidR="00570D55" w:rsidRDefault="00570D55" w:rsidP="00570D55">
      <w:pPr>
        <w:keepNext/>
        <w:jc w:val="center"/>
      </w:pPr>
      <w:r>
        <w:rPr>
          <w:noProof/>
        </w:rPr>
        <w:drawing>
          <wp:inline distT="0" distB="0" distL="0" distR="0" wp14:anchorId="0647919B" wp14:editId="02A9A56E">
            <wp:extent cx="4315523" cy="257826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2245" cy="2594232"/>
                    </a:xfrm>
                    <a:prstGeom prst="rect">
                      <a:avLst/>
                    </a:prstGeom>
                    <a:noFill/>
                  </pic:spPr>
                </pic:pic>
              </a:graphicData>
            </a:graphic>
          </wp:inline>
        </w:drawing>
      </w:r>
    </w:p>
    <w:p w14:paraId="4B1BD216" w14:textId="08930C6C" w:rsidR="00570D55" w:rsidRDefault="00570D55" w:rsidP="00570D55">
      <w:pPr>
        <w:pStyle w:val="Caption"/>
        <w:jc w:val="center"/>
        <w:rPr>
          <w:bCs/>
        </w:rPr>
      </w:pPr>
      <w:bookmarkStart w:id="5" w:name="_Ref79141866"/>
      <w:r>
        <w:t xml:space="preserve">Figure </w:t>
      </w:r>
      <w:r>
        <w:fldChar w:fldCharType="begin"/>
      </w:r>
      <w:r>
        <w:instrText xml:space="preserve"> SEQ Figure \* ARABIC </w:instrText>
      </w:r>
      <w:r>
        <w:fldChar w:fldCharType="separate"/>
      </w:r>
      <w:r w:rsidR="00D84414">
        <w:rPr>
          <w:noProof/>
        </w:rPr>
        <w:t>7</w:t>
      </w:r>
      <w:r>
        <w:fldChar w:fldCharType="end"/>
      </w:r>
      <w:bookmarkEnd w:id="5"/>
      <w:r>
        <w:t xml:space="preserve"> Predetermined start locations for TBoMS transmission</w:t>
      </w:r>
    </w:p>
    <w:p w14:paraId="05576EF0" w14:textId="769AA64B" w:rsidR="00570D55" w:rsidRDefault="00570D55" w:rsidP="00570D55">
      <w:pPr>
        <w:jc w:val="both"/>
      </w:pPr>
      <w:r w:rsidRPr="000036D0">
        <w:rPr>
          <w:b/>
        </w:rPr>
        <w:t xml:space="preserve">Proposal </w:t>
      </w:r>
      <w:r w:rsidR="004A49AD">
        <w:rPr>
          <w:b/>
        </w:rPr>
        <w:t>3</w:t>
      </w:r>
      <w:r w:rsidRPr="000036D0">
        <w:rPr>
          <w:b/>
        </w:rPr>
        <w:t>:</w:t>
      </w:r>
      <w:r w:rsidRPr="000036D0">
        <w:t xml:space="preserve"> </w:t>
      </w:r>
      <w:r>
        <w:t>For a single TBOMS</w:t>
      </w:r>
      <w:r w:rsidRPr="000036D0">
        <w:t xml:space="preserve">, </w:t>
      </w:r>
      <w:r w:rsidR="00407D16">
        <w:t xml:space="preserve">to avoid error propagation issues, </w:t>
      </w:r>
      <w:r w:rsidRPr="000036D0">
        <w:t xml:space="preserve">the index of the starting coded bit for each </w:t>
      </w:r>
      <w:r>
        <w:t>slot</w:t>
      </w:r>
      <w:r w:rsidRPr="000036D0">
        <w:t xml:space="preserve"> is predetermined prior to the start of the TBoMS transmission.</w:t>
      </w:r>
    </w:p>
    <w:p w14:paraId="751434FE" w14:textId="77F1812B" w:rsidR="00017485" w:rsidRDefault="00196896" w:rsidP="00017485">
      <w:pPr>
        <w:pStyle w:val="Heading2"/>
      </w:pPr>
      <w:r>
        <w:t xml:space="preserve">On </w:t>
      </w:r>
      <w:r w:rsidR="00017485">
        <w:t>TBS Determination</w:t>
      </w:r>
      <w:r w:rsidR="007C42DB">
        <w:t xml:space="preserve"> and TDRA </w:t>
      </w:r>
      <w:proofErr w:type="spellStart"/>
      <w:r w:rsidR="007C42DB">
        <w:t>Signaling</w:t>
      </w:r>
      <w:proofErr w:type="spellEnd"/>
    </w:p>
    <w:p w14:paraId="38D8821D" w14:textId="3F2A2DEF" w:rsidR="00C75E02" w:rsidRPr="00C75E02" w:rsidRDefault="00C75E02" w:rsidP="00C75E02">
      <w:pPr>
        <w:rPr>
          <w:lang w:val="en-GB"/>
        </w:rPr>
      </w:pPr>
      <w:r>
        <w:rPr>
          <w:lang w:val="en-GB"/>
        </w:rPr>
        <w:t>In the previous meeting the following agreements were made regarding TBS determination for TBoMS:</w:t>
      </w:r>
    </w:p>
    <w:tbl>
      <w:tblPr>
        <w:tblStyle w:val="TableGrid"/>
        <w:tblW w:w="0" w:type="auto"/>
        <w:tblLook w:val="04A0" w:firstRow="1" w:lastRow="0" w:firstColumn="1" w:lastColumn="0" w:noHBand="0" w:noVBand="1"/>
      </w:tblPr>
      <w:tblGrid>
        <w:gridCol w:w="9350"/>
      </w:tblGrid>
      <w:tr w:rsidR="0074348F" w14:paraId="79BADFFD" w14:textId="77777777" w:rsidTr="0074348F">
        <w:tc>
          <w:tcPr>
            <w:tcW w:w="9350" w:type="dxa"/>
          </w:tcPr>
          <w:p w14:paraId="5047E64F" w14:textId="77777777" w:rsidR="00327DAB" w:rsidRPr="00AC75C8" w:rsidRDefault="00327DAB" w:rsidP="00327DAB">
            <w:pPr>
              <w:rPr>
                <w:rFonts w:ascii="Calibri" w:hAnsi="Calibri"/>
                <w:b/>
                <w:bCs/>
                <w:szCs w:val="22"/>
                <w:highlight w:val="green"/>
                <w:lang w:val="en-US" w:eastAsia="fr-FR"/>
              </w:rPr>
            </w:pPr>
            <w:r w:rsidRPr="00AC75C8">
              <w:rPr>
                <w:b/>
                <w:bCs/>
                <w:highlight w:val="green"/>
                <w:lang w:val="en-US"/>
              </w:rPr>
              <w:t xml:space="preserve">Agreement </w:t>
            </w:r>
          </w:p>
          <w:p w14:paraId="715B5790" w14:textId="77777777" w:rsidR="00327DAB" w:rsidRDefault="00327DAB" w:rsidP="00327DAB">
            <w:pPr>
              <w:rPr>
                <w:lang w:val="en-US"/>
              </w:rPr>
            </w:pPr>
            <w:r>
              <w:rPr>
                <w:color w:val="FF0000"/>
                <w:lang w:val="en-US"/>
              </w:rPr>
              <w:t xml:space="preserve">To calculate </w:t>
            </w:r>
            <m:oMath>
              <m:sSub>
                <m:sSubPr>
                  <m:ctrlPr>
                    <w:rPr>
                      <w:rFonts w:ascii="Cambria Math" w:eastAsia="DengXian" w:hAnsi="Cambria Math" w:cs="Calibri"/>
                      <w:i/>
                      <w:color w:val="FF0000"/>
                      <w:sz w:val="22"/>
                      <w:szCs w:val="22"/>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lang w:val="en-US"/>
              </w:rPr>
              <w:t xml:space="preserve">  for TBS determination</w:t>
            </w:r>
            <w:r>
              <w:rPr>
                <w:lang w:val="en-US"/>
              </w:rPr>
              <w:t xml:space="preserve">, at least the scaling factor value </w:t>
            </w:r>
            <m:oMath>
              <m:r>
                <w:rPr>
                  <w:rFonts w:ascii="Cambria Math" w:hAnsi="Cambria Math"/>
                  <w:lang w:val="en-US"/>
                </w:rPr>
                <m:t>K</m:t>
              </m:r>
            </m:oMath>
            <w:r>
              <w:rPr>
                <w:lang w:val="en-US"/>
              </w:rPr>
              <w:t>=</w:t>
            </w:r>
            <w:r>
              <w:rPr>
                <w:color w:val="FF0000"/>
                <w:lang w:val="en-US"/>
              </w:rPr>
              <w:t xml:space="preserve">N is supported, where N is the </w:t>
            </w:r>
            <w:r>
              <w:rPr>
                <w:lang w:val="en-US"/>
              </w:rPr>
              <w:t xml:space="preserve">number of allocated slots for </w:t>
            </w:r>
            <w:r>
              <w:rPr>
                <w:color w:val="FF0000"/>
                <w:lang w:val="en-US"/>
              </w:rPr>
              <w:t>a single</w:t>
            </w:r>
            <w:r>
              <w:rPr>
                <w:lang w:val="en-US"/>
              </w:rPr>
              <w:t xml:space="preserve"> TBoMS.</w:t>
            </w:r>
          </w:p>
          <w:p w14:paraId="583B1A9C" w14:textId="77777777" w:rsidR="00327DAB" w:rsidRPr="00684FEF" w:rsidRDefault="00327DAB" w:rsidP="00327DAB">
            <w:pPr>
              <w:rPr>
                <w:lang w:val="en-US"/>
              </w:rPr>
            </w:pPr>
            <w:r w:rsidRPr="00684FEF">
              <w:rPr>
                <w:lang w:val="en-US"/>
              </w:rPr>
              <w:t>FFS: whether further values</w:t>
            </w:r>
            <w:r w:rsidRPr="00684FEF">
              <w:rPr>
                <w:color w:val="FF0000"/>
                <w:lang w:val="en-US"/>
              </w:rPr>
              <w:t xml:space="preserve"> 1&lt;K&lt;N</w:t>
            </w:r>
            <w:r w:rsidRPr="00684FEF">
              <w:rPr>
                <w:lang w:val="en-US"/>
              </w:rPr>
              <w:t xml:space="preserve"> </w:t>
            </w:r>
            <w:r w:rsidRPr="00684FEF">
              <w:rPr>
                <w:color w:val="FF0000"/>
                <w:lang w:val="en-US"/>
              </w:rPr>
              <w:t>are supported</w:t>
            </w:r>
            <w:r w:rsidRPr="00684FEF">
              <w:rPr>
                <w:lang w:val="en-US"/>
              </w:rPr>
              <w:t>.</w:t>
            </w:r>
          </w:p>
          <w:p w14:paraId="6E78B0B4" w14:textId="77777777" w:rsidR="00327DAB" w:rsidRDefault="00327DAB" w:rsidP="00327DAB">
            <w:pPr>
              <w:rPr>
                <w:lang w:val="en-US"/>
              </w:rPr>
            </w:pPr>
            <w:r w:rsidRPr="00684FEF">
              <w:rPr>
                <w:lang w:val="en-US"/>
              </w:rPr>
              <w:t xml:space="preserve">FFS: details related to the indication of </w:t>
            </w:r>
            <m:oMath>
              <m:r>
                <w:rPr>
                  <w:rFonts w:ascii="Cambria Math" w:hAnsi="Cambria Math"/>
                  <w:lang w:val="en-US"/>
                </w:rPr>
                <m:t>K</m:t>
              </m:r>
            </m:oMath>
            <w:r w:rsidRPr="00684FEF">
              <w:rPr>
                <w:lang w:val="en-US"/>
              </w:rPr>
              <w:t>.</w:t>
            </w:r>
          </w:p>
          <w:p w14:paraId="245205F2" w14:textId="2FBB7AAD" w:rsidR="0074348F" w:rsidRDefault="00327DAB" w:rsidP="00FB54FE">
            <w:r>
              <w:rPr>
                <w:color w:val="FF0000"/>
                <w:lang w:val="en-US"/>
              </w:rPr>
              <w:t xml:space="preserve">Note: </w:t>
            </w:r>
            <w:r w:rsidRPr="0019562F">
              <w:rPr>
                <w:color w:val="FF0000"/>
                <w:lang w:val="en-US"/>
              </w:rPr>
              <w:t>No supporting the case K=1</w:t>
            </w:r>
            <w:r>
              <w:rPr>
                <w:color w:val="FF0000"/>
                <w:lang w:val="en-US"/>
              </w:rPr>
              <w:t xml:space="preserve"> for a single</w:t>
            </w:r>
            <w:r>
              <w:rPr>
                <w:lang w:val="en-US"/>
              </w:rPr>
              <w:t xml:space="preserve"> TBoMS</w:t>
            </w:r>
            <w:r w:rsidRPr="0019562F">
              <w:rPr>
                <w:lang w:val="en-US"/>
              </w:rPr>
              <w:t>.</w:t>
            </w:r>
          </w:p>
        </w:tc>
      </w:tr>
    </w:tbl>
    <w:p w14:paraId="7206C72C" w14:textId="754F9571" w:rsidR="0074348F" w:rsidRDefault="0074348F" w:rsidP="0074348F">
      <w:pPr>
        <w:rPr>
          <w:lang w:val="en-GB"/>
        </w:rPr>
      </w:pPr>
    </w:p>
    <w:p w14:paraId="376B8243" w14:textId="0977C430" w:rsidR="008F38CB" w:rsidRDefault="004379F8" w:rsidP="00016124">
      <w:pPr>
        <w:jc w:val="both"/>
      </w:pPr>
      <w:r>
        <w:t>We believe it</w:t>
      </w:r>
      <w:r w:rsidR="00684FEF">
        <w:t xml:space="preserve"> i</w:t>
      </w:r>
      <w:r>
        <w:t xml:space="preserve">s best to not couple the scale factor </w:t>
      </w:r>
      <m:oMath>
        <m:r>
          <w:rPr>
            <w:rFonts w:ascii="Cambria Math" w:hAnsi="Cambria Math"/>
          </w:rPr>
          <m:t>K</m:t>
        </m:r>
      </m:oMath>
      <w:r>
        <w:t xml:space="preserve"> to the number of </w:t>
      </w:r>
      <w:r w:rsidR="00484937">
        <w:t xml:space="preserve">slots spanned by TBoMS. This is particularly important in the context of retransmissions of TBoMS, where the number of allocated slots may be different from the </w:t>
      </w:r>
      <w:r w:rsidR="00002123">
        <w:t xml:space="preserve">original slots assigned for the initial transmission. </w:t>
      </w:r>
      <w:r w:rsidR="00CB14F6">
        <w:t>TBS computation must be such that the same TBS can be calculated even if the number of assigned slots changes.</w:t>
      </w:r>
      <w:r w:rsidR="00FB6D1B">
        <w:t xml:space="preserve"> </w:t>
      </w:r>
      <w:r w:rsidR="008F38CB">
        <w:t xml:space="preserve">For example, if </w:t>
      </w:r>
      <m:oMath>
        <m:r>
          <w:rPr>
            <w:rFonts w:ascii="Cambria Math" w:hAnsi="Cambria Math"/>
          </w:rPr>
          <m:t>N=4</m:t>
        </m:r>
      </m:oMath>
      <w:r w:rsidR="008F38CB">
        <w:t xml:space="preserve"> for first transmission and </w:t>
      </w:r>
      <m:oMath>
        <m:r>
          <w:rPr>
            <w:rFonts w:ascii="Cambria Math" w:hAnsi="Cambria Math"/>
          </w:rPr>
          <m:t>K=4</m:t>
        </m:r>
      </m:oMath>
      <w:r w:rsidR="008F38CB">
        <w:t xml:space="preserve"> for first transmission, and if </w:t>
      </w:r>
      <m:oMath>
        <m:r>
          <w:rPr>
            <w:rFonts w:ascii="Cambria Math" w:hAnsi="Cambria Math"/>
          </w:rPr>
          <m:t>N=2</m:t>
        </m:r>
      </m:oMath>
      <w:r w:rsidR="008F38CB">
        <w:t xml:space="preserve"> for retransmission, then allow </w:t>
      </w:r>
      <m:oMath>
        <m:r>
          <w:rPr>
            <w:rFonts w:ascii="Cambria Math" w:hAnsi="Cambria Math"/>
          </w:rPr>
          <m:t>K=4</m:t>
        </m:r>
      </m:oMath>
      <w:r w:rsidR="008F38CB">
        <w:t xml:space="preserve"> for retransmission.</w:t>
      </w:r>
    </w:p>
    <w:p w14:paraId="77D812F0" w14:textId="32710F7E" w:rsidR="00C47E53" w:rsidRDefault="00FB6D1B" w:rsidP="00016124">
      <w:pPr>
        <w:jc w:val="both"/>
      </w:pPr>
      <w:r>
        <w:t>We therefore make the following proposal:</w:t>
      </w:r>
    </w:p>
    <w:p w14:paraId="20E1491C" w14:textId="6CE8A25F" w:rsidR="00FB6D1B" w:rsidRDefault="00FB6D1B" w:rsidP="00FB6D1B">
      <w:pPr>
        <w:jc w:val="both"/>
      </w:pPr>
      <w:r w:rsidRPr="00613AF5">
        <w:rPr>
          <w:b/>
          <w:bCs/>
        </w:rPr>
        <w:t>Proposal</w:t>
      </w:r>
      <w:r>
        <w:rPr>
          <w:b/>
          <w:bCs/>
        </w:rPr>
        <w:t xml:space="preserve"> </w:t>
      </w:r>
      <w:r w:rsidR="004A49AD">
        <w:rPr>
          <w:b/>
          <w:bCs/>
        </w:rPr>
        <w:t>4</w:t>
      </w:r>
      <w:r w:rsidRPr="00613AF5">
        <w:rPr>
          <w:b/>
          <w:bCs/>
        </w:rPr>
        <w:t xml:space="preserve">: </w:t>
      </w:r>
      <w:r>
        <w:t>For retransmissions of TBOMS, support shorter duration transmissions by</w:t>
      </w:r>
      <w:r w:rsidR="003877DA">
        <w:t xml:space="preserve"> also</w:t>
      </w:r>
      <w:r>
        <w:t xml:space="preserve"> allowing values of </w:t>
      </w:r>
      <m:oMath>
        <m:r>
          <w:rPr>
            <w:rFonts w:ascii="Cambria Math" w:hAnsi="Cambria Math"/>
          </w:rPr>
          <m:t>N≤ K</m:t>
        </m:r>
      </m:oMath>
      <w:r w:rsidR="00F60A40">
        <w:t xml:space="preserve"> </w:t>
      </w:r>
      <w:r>
        <w:t>. This ensures the same TB size can be determined for a retransmission even if the number of slots for a single TBOMS is reduced.</w:t>
      </w:r>
    </w:p>
    <w:p w14:paraId="52344FEE" w14:textId="0378CDFE" w:rsidR="00FB6D1B" w:rsidRDefault="00A81768" w:rsidP="00016124">
      <w:pPr>
        <w:jc w:val="both"/>
      </w:pPr>
      <w:r>
        <w:lastRenderedPageBreak/>
        <w:t>Focusing on the</w:t>
      </w:r>
      <w:r w:rsidR="00E009C0">
        <w:t xml:space="preserve"> candidate values for the </w:t>
      </w:r>
      <w:r>
        <w:t xml:space="preserve">scale factor, we think a set of 4 values should suffice. </w:t>
      </w:r>
      <w:r w:rsidR="00E009C0">
        <w:t>We make the following proposal:</w:t>
      </w:r>
    </w:p>
    <w:p w14:paraId="4499A250" w14:textId="1874BEE6" w:rsidR="00A613B3" w:rsidRDefault="00A613B3" w:rsidP="009D1BB1">
      <w:pPr>
        <w:jc w:val="both"/>
        <w:rPr>
          <w:lang w:val="en-GB"/>
        </w:rPr>
      </w:pPr>
      <w:r w:rsidRPr="009835AC">
        <w:rPr>
          <w:b/>
          <w:bCs/>
          <w:lang w:val="en-GB"/>
        </w:rPr>
        <w:t>Proposal</w:t>
      </w:r>
      <w:r w:rsidR="00045CD1">
        <w:rPr>
          <w:b/>
          <w:bCs/>
          <w:lang w:val="en-GB"/>
        </w:rPr>
        <w:t xml:space="preserve"> </w:t>
      </w:r>
      <w:r w:rsidR="004A49AD">
        <w:rPr>
          <w:b/>
          <w:bCs/>
          <w:lang w:val="en-GB"/>
        </w:rPr>
        <w:t>5</w:t>
      </w:r>
      <w:r w:rsidRPr="009835AC">
        <w:rPr>
          <w:b/>
          <w:bCs/>
          <w:lang w:val="en-GB"/>
        </w:rPr>
        <w:t>:</w:t>
      </w:r>
      <w:r>
        <w:rPr>
          <w:lang w:val="en-GB"/>
        </w:rPr>
        <w:t xml:space="preserve"> The scale factor </w:t>
      </w:r>
      <m:oMath>
        <m:r>
          <w:rPr>
            <w:rFonts w:ascii="Cambria Math" w:hAnsi="Cambria Math"/>
            <w:lang w:val="en-GB"/>
          </w:rPr>
          <m:t>K</m:t>
        </m:r>
      </m:oMath>
      <w:r>
        <w:rPr>
          <w:lang w:val="en-GB"/>
        </w:rPr>
        <w:t xml:space="preserve"> used to determine the TBS of TBoMS may take</w:t>
      </w:r>
      <w:r w:rsidR="00E8235C">
        <w:rPr>
          <w:lang w:val="en-GB"/>
        </w:rPr>
        <w:t xml:space="preserve"> at least</w:t>
      </w:r>
      <w:r>
        <w:rPr>
          <w:lang w:val="en-GB"/>
        </w:rPr>
        <w:t xml:space="preserve"> the following values: 2, 4, 8, 16</w:t>
      </w:r>
      <w:r w:rsidR="00F900D5">
        <w:rPr>
          <w:lang w:val="en-GB"/>
        </w:rPr>
        <w:t>.</w:t>
      </w:r>
    </w:p>
    <w:p w14:paraId="42087F5B" w14:textId="7FFAA5B3" w:rsidR="00EC30A2" w:rsidRDefault="0082479B" w:rsidP="009D1BB1">
      <w:pPr>
        <w:jc w:val="both"/>
        <w:rPr>
          <w:lang w:val="en-GB"/>
        </w:rPr>
      </w:pPr>
      <w:r>
        <w:rPr>
          <w:lang w:val="en-GB"/>
        </w:rPr>
        <w:t xml:space="preserve">We would further like to ensure that this process of scaling up the TB size via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r>
          <w:rPr>
            <w:rFonts w:ascii="Cambria Math" w:hAnsi="Cambria Math"/>
            <w:lang w:val="en-GB"/>
          </w:rPr>
          <m:t xml:space="preserve"> </m:t>
        </m:r>
      </m:oMath>
      <w:r>
        <w:rPr>
          <w:lang w:val="en-GB"/>
        </w:rPr>
        <w:t>does not result in new TB sizes. We therefore make the following proposal:</w:t>
      </w:r>
    </w:p>
    <w:p w14:paraId="3B99CE1C" w14:textId="0C6CD97E" w:rsidR="005270F6" w:rsidRDefault="005270F6" w:rsidP="009D1BB1">
      <w:pPr>
        <w:jc w:val="both"/>
      </w:pPr>
      <w:r w:rsidRPr="005270F6">
        <w:rPr>
          <w:b/>
          <w:bCs/>
        </w:rPr>
        <w:t>Proposal</w:t>
      </w:r>
      <w:r w:rsidR="00D1403B">
        <w:rPr>
          <w:b/>
          <w:bCs/>
        </w:rPr>
        <w:t xml:space="preserve"> </w:t>
      </w:r>
      <w:r w:rsidR="004A49AD">
        <w:rPr>
          <w:b/>
          <w:bCs/>
        </w:rPr>
        <w:t>6</w:t>
      </w:r>
      <w:r w:rsidRPr="005270F6">
        <w:rPr>
          <w:b/>
          <w:bCs/>
        </w:rPr>
        <w:t>:</w:t>
      </w:r>
      <w:r>
        <w:t xml:space="preserve"> For TBoMS, no new </w:t>
      </w:r>
      <w:r w:rsidRPr="005270F6">
        <w:t>TB sizes are introduced.</w:t>
      </w:r>
    </w:p>
    <w:p w14:paraId="282BF6F6" w14:textId="0E8BD6E2" w:rsidR="007C42DB" w:rsidRDefault="007C42DB" w:rsidP="009D1BB1">
      <w:pPr>
        <w:jc w:val="both"/>
      </w:pPr>
      <w:r>
        <w:t xml:space="preserve">Finally, </w:t>
      </w:r>
      <w:proofErr w:type="gramStart"/>
      <w:r>
        <w:t>with</w:t>
      </w:r>
      <w:r w:rsidR="00E86289">
        <w:t xml:space="preserve"> regard to</w:t>
      </w:r>
      <w:proofErr w:type="gramEnd"/>
      <w:r w:rsidR="00E86289">
        <w:t xml:space="preserve"> TDRA signaling for TBoMS, we suggest that we introduce a new column in the TDRA table to indicate the number of slots assigned to a single TBoMS. </w:t>
      </w:r>
      <w:r w:rsidR="00127C3A">
        <w:t xml:space="preserve">Further, we think that this new TDRA table can be shared with legacy PUSCH transmission so that the switching between the two modes is seamless. </w:t>
      </w:r>
      <w:r w:rsidR="0060312A">
        <w:t xml:space="preserve">Using R16 TDRA tables is a good starting point, and the column on repetitions in these tables can be reused as is. </w:t>
      </w:r>
      <w:r w:rsidR="00127C3A">
        <w:t>We make the following proposal:</w:t>
      </w:r>
    </w:p>
    <w:p w14:paraId="5534074F" w14:textId="2AE004D8" w:rsidR="00613AF5" w:rsidRDefault="00613AF5" w:rsidP="009D1BB1">
      <w:pPr>
        <w:jc w:val="both"/>
      </w:pPr>
      <w:r w:rsidRPr="00EE3C3A">
        <w:rPr>
          <w:b/>
          <w:bCs/>
        </w:rPr>
        <w:t>Proposal</w:t>
      </w:r>
      <w:r w:rsidR="00CE467F">
        <w:rPr>
          <w:b/>
          <w:bCs/>
        </w:rPr>
        <w:t xml:space="preserve"> </w:t>
      </w:r>
      <w:r w:rsidR="004A49AD">
        <w:rPr>
          <w:b/>
          <w:bCs/>
        </w:rPr>
        <w:t>7</w:t>
      </w:r>
      <w:r w:rsidRPr="00EE3C3A">
        <w:rPr>
          <w:b/>
          <w:bCs/>
        </w:rPr>
        <w:t>:</w:t>
      </w:r>
      <w:r>
        <w:t xml:space="preserve"> Introduce a </w:t>
      </w:r>
      <w:r w:rsidR="00F75EBC">
        <w:t>new R17</w:t>
      </w:r>
      <w:r w:rsidR="005F4E4D">
        <w:t xml:space="preserve"> TDRA table </w:t>
      </w:r>
      <w:r w:rsidR="00F75EBC">
        <w:t xml:space="preserve">that supports both legacy PUSCH transmission and </w:t>
      </w:r>
      <w:r w:rsidR="00BE2017">
        <w:t>TBOMS. A new column is introduced to the existing R16 TDRA table to specify</w:t>
      </w:r>
      <w:r w:rsidR="00443EE7">
        <w:t xml:space="preserve"> the number of slots, N, of a single TBOMS. When N=1, legacy </w:t>
      </w:r>
      <w:r w:rsidR="00EE3C3A">
        <w:t>PUSCH transmission is assumed.</w:t>
      </w:r>
    </w:p>
    <w:p w14:paraId="5E04D382" w14:textId="46F0AB40" w:rsidR="007A5F6E" w:rsidRDefault="007A5F6E" w:rsidP="002433A0">
      <w:pPr>
        <w:pStyle w:val="Heading2"/>
      </w:pPr>
      <w:r>
        <w:t>Restriction on TBoMS</w:t>
      </w:r>
    </w:p>
    <w:p w14:paraId="19E697CF" w14:textId="1FE7F87A" w:rsidR="005F63D2" w:rsidRPr="005F63D2" w:rsidRDefault="005F63D2" w:rsidP="008017AB">
      <w:pPr>
        <w:jc w:val="both"/>
        <w:rPr>
          <w:lang w:val="en-GB"/>
        </w:rPr>
      </w:pPr>
      <w:r>
        <w:rPr>
          <w:lang w:val="en-GB"/>
        </w:rPr>
        <w:t xml:space="preserve">Currently TBoMS is viewed as a general feature that can support </w:t>
      </w:r>
      <w:r w:rsidR="008C7E01">
        <w:rPr>
          <w:lang w:val="en-GB"/>
        </w:rPr>
        <w:t xml:space="preserve">even large TB sizes and can be used in non-coverage-limited </w:t>
      </w:r>
      <w:proofErr w:type="spellStart"/>
      <w:r w:rsidR="008C7E01">
        <w:rPr>
          <w:lang w:val="en-GB"/>
        </w:rPr>
        <w:t>scearios</w:t>
      </w:r>
      <w:proofErr w:type="spellEnd"/>
      <w:r w:rsidR="008C7E01">
        <w:rPr>
          <w:lang w:val="en-GB"/>
        </w:rPr>
        <w:t xml:space="preserve"> as well. </w:t>
      </w:r>
      <w:r w:rsidR="00704BB1">
        <w:rPr>
          <w:lang w:val="en-GB"/>
        </w:rPr>
        <w:t xml:space="preserve">Limitations on the applicability of TBoMS were </w:t>
      </w:r>
      <w:r w:rsidR="00AE0568">
        <w:rPr>
          <w:lang w:val="en-GB"/>
        </w:rPr>
        <w:t xml:space="preserve">not viewed </w:t>
      </w:r>
      <w:r w:rsidR="00D55FA4">
        <w:rPr>
          <w:lang w:val="en-GB"/>
        </w:rPr>
        <w:t>favourably</w:t>
      </w:r>
      <w:r w:rsidR="00AE0568">
        <w:rPr>
          <w:lang w:val="en-GB"/>
        </w:rPr>
        <w:t xml:space="preserve">. However, some limitations may be beneficial to consider </w:t>
      </w:r>
      <w:proofErr w:type="gramStart"/>
      <w:r w:rsidR="004669B6">
        <w:rPr>
          <w:lang w:val="en-GB"/>
        </w:rPr>
        <w:t>to facilitate</w:t>
      </w:r>
      <w:proofErr w:type="gramEnd"/>
      <w:r w:rsidR="00AE0568">
        <w:rPr>
          <w:lang w:val="en-GB"/>
        </w:rPr>
        <w:t xml:space="preserve"> the design choices we </w:t>
      </w:r>
      <w:r w:rsidR="00294E6D">
        <w:rPr>
          <w:lang w:val="en-GB"/>
        </w:rPr>
        <w:t xml:space="preserve">make going forward and to take UE complexity into consideration. </w:t>
      </w:r>
    </w:p>
    <w:p w14:paraId="79B11DC6" w14:textId="379F6EAD" w:rsidR="007A5F6E" w:rsidRPr="00462F56" w:rsidRDefault="007A5F6E" w:rsidP="007A5F6E">
      <w:pPr>
        <w:jc w:val="both"/>
      </w:pPr>
      <w:r>
        <w:t>For instance, it’s clear that the benefits of TBS scaling no longer apply when we need multiple codeblocks to encode a TB. In addition, as the number of allocated RBs, and MCS grow, the coding gain due to TB bundling is diminished or even non-existent. For these cases, TBS scaling brings no performance gain, but can lead to an increase in UE implementation complexity. Furthermore, it is desirable to limit TBoMS transmission over a single layer transmission (</w:t>
      </w:r>
      <w:proofErr w:type="gramStart"/>
      <w:r>
        <w:t>similar to</w:t>
      </w:r>
      <w:proofErr w:type="gramEnd"/>
      <w:r>
        <w:t xml:space="preserve"> PUSCH repetition type A) for the coverage use case. For these reasons, it is important for us to identify clear conditions under which TBS scaling can be applied and we make the following proposal:</w:t>
      </w:r>
    </w:p>
    <w:p w14:paraId="1AD021BA" w14:textId="43737F1D" w:rsidR="007A5F6E" w:rsidRDefault="007A5F6E" w:rsidP="007A5F6E">
      <w:pPr>
        <w:jc w:val="both"/>
      </w:pPr>
      <w:r w:rsidRPr="00462F56">
        <w:rPr>
          <w:b/>
          <w:bCs/>
        </w:rPr>
        <w:t>Proposal</w:t>
      </w:r>
      <w:r>
        <w:rPr>
          <w:b/>
          <w:bCs/>
        </w:rPr>
        <w:t xml:space="preserve"> </w:t>
      </w:r>
      <w:r w:rsidR="00D24127">
        <w:rPr>
          <w:b/>
          <w:bCs/>
        </w:rPr>
        <w:t>8</w:t>
      </w:r>
      <w:r w:rsidRPr="00462F56">
        <w:rPr>
          <w:b/>
          <w:bCs/>
        </w:rPr>
        <w:t xml:space="preserve">: </w:t>
      </w:r>
      <w:r>
        <w:t xml:space="preserve">Restrict TBoMS transmissions to TB sizes that permit single codeblock transmissions (i.e., entire TB can be encoded as a single codeblock). Furthermore, restrict TBoMS transmission to single layer transmissions. </w:t>
      </w:r>
    </w:p>
    <w:p w14:paraId="3D4AAC65" w14:textId="239F0942" w:rsidR="002433A0" w:rsidRDefault="007A5F6E" w:rsidP="002433A0">
      <w:pPr>
        <w:pStyle w:val="Heading2"/>
      </w:pPr>
      <w:r>
        <w:t>Other Issues</w:t>
      </w:r>
    </w:p>
    <w:p w14:paraId="4DC338BB" w14:textId="44E44ED8" w:rsidR="0019329E" w:rsidRDefault="00B314A0" w:rsidP="0019329E">
      <w:pPr>
        <w:rPr>
          <w:lang w:val="en-GB"/>
        </w:rPr>
      </w:pPr>
      <w:r>
        <w:rPr>
          <w:lang w:val="en-GB"/>
        </w:rPr>
        <w:t xml:space="preserve">We make the following remarks </w:t>
      </w:r>
      <w:r w:rsidR="008017AB">
        <w:rPr>
          <w:lang w:val="en-GB"/>
        </w:rPr>
        <w:t xml:space="preserve">on </w:t>
      </w:r>
      <w:r>
        <w:rPr>
          <w:lang w:val="en-GB"/>
        </w:rPr>
        <w:t>a few additional ancillary issues.</w:t>
      </w:r>
    </w:p>
    <w:p w14:paraId="406EDA0D" w14:textId="0C174010" w:rsidR="00B314A0" w:rsidRPr="00E652FE" w:rsidRDefault="00B314A0" w:rsidP="0019329E">
      <w:pPr>
        <w:rPr>
          <w:b/>
          <w:bCs/>
          <w:u w:val="single"/>
          <w:lang w:val="en-GB"/>
        </w:rPr>
      </w:pPr>
      <w:r w:rsidRPr="00E652FE">
        <w:rPr>
          <w:b/>
          <w:bCs/>
          <w:u w:val="single"/>
          <w:lang w:val="en-GB"/>
        </w:rPr>
        <w:t>On UCI multiplexing</w:t>
      </w:r>
      <w:r w:rsidR="00E652FE" w:rsidRPr="00E652FE">
        <w:rPr>
          <w:b/>
          <w:bCs/>
          <w:u w:val="single"/>
          <w:lang w:val="en-GB"/>
        </w:rPr>
        <w:t xml:space="preserve"> and collision handling</w:t>
      </w:r>
    </w:p>
    <w:p w14:paraId="18F2D4CD" w14:textId="3BDAB38F" w:rsidR="00B314A0" w:rsidRPr="0019329E" w:rsidRDefault="00D0063C" w:rsidP="0019329E">
      <w:pPr>
        <w:rPr>
          <w:lang w:val="en-GB"/>
        </w:rPr>
      </w:pPr>
      <w:r>
        <w:rPr>
          <w:lang w:val="en-GB"/>
        </w:rPr>
        <w:t xml:space="preserve">Defining a transmission occasion to span a single slot and restricting rate matching to occur on a per-slot basis </w:t>
      </w:r>
      <w:r w:rsidR="00B11AF7">
        <w:rPr>
          <w:lang w:val="en-GB"/>
        </w:rPr>
        <w:t xml:space="preserve">ensures that the legacy rules on UCI multiplexing can be followed without any changes. </w:t>
      </w:r>
      <w:r w:rsidR="00AD0194">
        <w:rPr>
          <w:lang w:val="en-GB"/>
        </w:rPr>
        <w:t xml:space="preserve">A UE can </w:t>
      </w:r>
      <w:r w:rsidR="0044085C">
        <w:rPr>
          <w:lang w:val="en-GB"/>
        </w:rPr>
        <w:t xml:space="preserve">continue to </w:t>
      </w:r>
      <w:r w:rsidR="00AD0194">
        <w:rPr>
          <w:lang w:val="en-GB"/>
        </w:rPr>
        <w:t>make UCI multiplexing decisions on a per-slot basis</w:t>
      </w:r>
      <w:r w:rsidR="00574E3D">
        <w:rPr>
          <w:lang w:val="en-GB"/>
        </w:rPr>
        <w:t xml:space="preserve"> without </w:t>
      </w:r>
      <w:r w:rsidR="007835A0">
        <w:rPr>
          <w:lang w:val="en-GB"/>
        </w:rPr>
        <w:t>any dependencies on past of future TBoMS transmissions. This motivates us to propose the following</w:t>
      </w:r>
      <w:r w:rsidR="00B11AF7">
        <w:rPr>
          <w:lang w:val="en-GB"/>
        </w:rPr>
        <w:t>.</w:t>
      </w:r>
    </w:p>
    <w:p w14:paraId="450F469A" w14:textId="4FBE21B3" w:rsidR="007A5F6E" w:rsidRDefault="00337ECE" w:rsidP="007A5F6E">
      <w:r w:rsidRPr="00274169">
        <w:rPr>
          <w:b/>
          <w:bCs/>
          <w:lang w:val="en-GB"/>
        </w:rPr>
        <w:t>Proposal</w:t>
      </w:r>
      <w:r w:rsidR="00045CD1">
        <w:rPr>
          <w:b/>
          <w:bCs/>
          <w:lang w:val="en-GB"/>
        </w:rPr>
        <w:t xml:space="preserve"> </w:t>
      </w:r>
      <w:r w:rsidR="002D76E5">
        <w:rPr>
          <w:b/>
          <w:bCs/>
          <w:lang w:val="en-GB"/>
        </w:rPr>
        <w:t>9</w:t>
      </w:r>
      <w:r w:rsidRPr="00274169">
        <w:rPr>
          <w:b/>
          <w:bCs/>
          <w:lang w:val="en-GB"/>
        </w:rPr>
        <w:t>:</w:t>
      </w:r>
      <w:r>
        <w:rPr>
          <w:lang w:val="en-GB"/>
        </w:rPr>
        <w:t xml:space="preserve"> </w:t>
      </w:r>
      <w:r w:rsidR="00A2345A">
        <w:t>R</w:t>
      </w:r>
      <w:r>
        <w:t>euse R15/R16 framework for UCI multiplexing on</w:t>
      </w:r>
      <w:r w:rsidR="00E4226B">
        <w:t xml:space="preserve"> PUSCH for </w:t>
      </w:r>
      <w:r w:rsidR="00A2345A">
        <w:t xml:space="preserve">each slot of a single </w:t>
      </w:r>
      <w:r w:rsidR="00E4226B">
        <w:t>TBoMS as well</w:t>
      </w:r>
      <w:r w:rsidR="0074173A">
        <w:t xml:space="preserve">. </w:t>
      </w:r>
    </w:p>
    <w:p w14:paraId="42639EAB" w14:textId="0EB47789" w:rsidR="00B66E0B" w:rsidRDefault="00B66E0B" w:rsidP="007A5F6E">
      <w:r>
        <w:t>In a similar vein, the legacy collision handling rules can also be retained.</w:t>
      </w:r>
    </w:p>
    <w:p w14:paraId="625FDC21" w14:textId="76657413" w:rsidR="00274169" w:rsidRDefault="0074173A" w:rsidP="0074173A">
      <w:r w:rsidRPr="00274169">
        <w:rPr>
          <w:b/>
          <w:bCs/>
          <w:lang w:val="en-GB"/>
        </w:rPr>
        <w:t>Proposal</w:t>
      </w:r>
      <w:r w:rsidR="00045CD1">
        <w:rPr>
          <w:b/>
          <w:bCs/>
          <w:lang w:val="en-GB"/>
        </w:rPr>
        <w:t xml:space="preserve"> 1</w:t>
      </w:r>
      <w:r w:rsidR="002D76E5">
        <w:rPr>
          <w:b/>
          <w:bCs/>
          <w:lang w:val="en-GB"/>
        </w:rPr>
        <w:t>0</w:t>
      </w:r>
      <w:r w:rsidRPr="00274169">
        <w:rPr>
          <w:b/>
          <w:bCs/>
          <w:lang w:val="en-GB"/>
        </w:rPr>
        <w:t>:</w:t>
      </w:r>
      <w:r>
        <w:rPr>
          <w:lang w:val="en-GB"/>
        </w:rPr>
        <w:t xml:space="preserve"> </w:t>
      </w:r>
      <w:r w:rsidR="0056179B">
        <w:rPr>
          <w:lang w:val="en-GB"/>
        </w:rPr>
        <w:t>R</w:t>
      </w:r>
      <w:proofErr w:type="spellStart"/>
      <w:r>
        <w:t>euse</w:t>
      </w:r>
      <w:proofErr w:type="spellEnd"/>
      <w:r>
        <w:t xml:space="preserve"> R15/R16 framework for collision handling </w:t>
      </w:r>
      <w:r w:rsidR="00A76679">
        <w:t xml:space="preserve">between </w:t>
      </w:r>
      <w:r w:rsidR="00D007BB">
        <w:t>PUSCH</w:t>
      </w:r>
      <w:r w:rsidR="00A76679">
        <w:t xml:space="preserve"> and other channels/signals </w:t>
      </w:r>
      <w:r w:rsidR="00274169">
        <w:t>for collision handling between</w:t>
      </w:r>
      <w:r w:rsidR="0056179B">
        <w:t xml:space="preserve"> </w:t>
      </w:r>
      <w:proofErr w:type="spellStart"/>
      <w:proofErr w:type="gramStart"/>
      <w:r w:rsidR="0056179B">
        <w:t>a</w:t>
      </w:r>
      <w:proofErr w:type="spellEnd"/>
      <w:r w:rsidR="0056179B">
        <w:t xml:space="preserve"> </w:t>
      </w:r>
      <w:r w:rsidR="009C05C2">
        <w:t>each</w:t>
      </w:r>
      <w:proofErr w:type="gramEnd"/>
      <w:r w:rsidR="009C05C2">
        <w:t xml:space="preserve"> slot of a</w:t>
      </w:r>
      <w:r w:rsidR="00274169">
        <w:t xml:space="preserve"> TBoMS and other channels/signals.</w:t>
      </w:r>
    </w:p>
    <w:p w14:paraId="0834584C" w14:textId="4FFD4215" w:rsidR="008017AB" w:rsidRPr="003F3555" w:rsidRDefault="008017AB" w:rsidP="0074173A">
      <w:pPr>
        <w:rPr>
          <w:b/>
          <w:bCs/>
          <w:u w:val="single"/>
        </w:rPr>
      </w:pPr>
      <w:r w:rsidRPr="003F3555">
        <w:rPr>
          <w:b/>
          <w:bCs/>
          <w:u w:val="single"/>
        </w:rPr>
        <w:t>On frequency hopping:</w:t>
      </w:r>
    </w:p>
    <w:p w14:paraId="41DCFE90" w14:textId="71784B79" w:rsidR="008017AB" w:rsidRDefault="00FC61A3" w:rsidP="0074173A">
      <w:r w:rsidRPr="003F3555">
        <w:rPr>
          <w:b/>
          <w:bCs/>
        </w:rPr>
        <w:t>Proposal</w:t>
      </w:r>
      <w:r w:rsidR="002D76E5">
        <w:rPr>
          <w:b/>
          <w:bCs/>
        </w:rPr>
        <w:t xml:space="preserve"> 11</w:t>
      </w:r>
      <w:r w:rsidRPr="003F3555">
        <w:rPr>
          <w:b/>
          <w:bCs/>
        </w:rPr>
        <w:t>:</w:t>
      </w:r>
      <w:r>
        <w:t xml:space="preserve"> Reuse the frequency hopping framework used </w:t>
      </w:r>
      <w:r w:rsidR="003F3555">
        <w:t xml:space="preserve">in </w:t>
      </w:r>
      <w:r>
        <w:t>PUSCH Type A repetitions for TBoMS transmissions.</w:t>
      </w:r>
    </w:p>
    <w:p w14:paraId="212BD4A0" w14:textId="50BBB0B1" w:rsidR="00EC31C0" w:rsidRPr="00FC0166" w:rsidRDefault="00EC31C0" w:rsidP="0074173A">
      <w:pPr>
        <w:rPr>
          <w:b/>
          <w:bCs/>
          <w:u w:val="single"/>
        </w:rPr>
      </w:pPr>
      <w:r w:rsidRPr="00FC0166">
        <w:rPr>
          <w:b/>
          <w:bCs/>
          <w:u w:val="single"/>
        </w:rPr>
        <w:t>TBoMS Scheduling</w:t>
      </w:r>
    </w:p>
    <w:p w14:paraId="42229B3C" w14:textId="6934FDF4" w:rsidR="00FC0166" w:rsidRDefault="006D765D" w:rsidP="0074173A">
      <w:r>
        <w:lastRenderedPageBreak/>
        <w:t xml:space="preserve">Since TBoMS transmissions span multiple slots and could involve additional </w:t>
      </w:r>
      <w:r w:rsidR="004F7895">
        <w:t xml:space="preserve">slot-to-slot coordination and </w:t>
      </w:r>
      <w:r w:rsidR="006B62B2">
        <w:t xml:space="preserve">more involved circular buffer handling </w:t>
      </w:r>
      <w:r w:rsidR="004F7895">
        <w:t>at the UE</w:t>
      </w:r>
      <w:r w:rsidR="005C58CB">
        <w:t xml:space="preserve">, it is preferred to not allow </w:t>
      </w:r>
      <w:r w:rsidR="00223374">
        <w:t xml:space="preserve">interleaving of multiple TBoMS transmissions carrying different </w:t>
      </w:r>
      <w:proofErr w:type="spellStart"/>
      <w:r w:rsidR="00223374">
        <w:t>TBs.</w:t>
      </w:r>
      <w:proofErr w:type="spellEnd"/>
      <w:r w:rsidR="00223374">
        <w:t xml:space="preserve"> </w:t>
      </w:r>
    </w:p>
    <w:p w14:paraId="3D1B9EAD" w14:textId="6D1B57DA" w:rsidR="00274169" w:rsidRDefault="00274169" w:rsidP="0074173A">
      <w:r w:rsidRPr="003047EF">
        <w:rPr>
          <w:b/>
          <w:bCs/>
        </w:rPr>
        <w:t>Proposal</w:t>
      </w:r>
      <w:r w:rsidR="00045CD1">
        <w:rPr>
          <w:b/>
          <w:bCs/>
        </w:rPr>
        <w:t xml:space="preserve"> 1</w:t>
      </w:r>
      <w:r w:rsidR="002D76E5">
        <w:rPr>
          <w:b/>
          <w:bCs/>
        </w:rPr>
        <w:t>2</w:t>
      </w:r>
      <w:r w:rsidRPr="003047EF">
        <w:rPr>
          <w:b/>
          <w:bCs/>
        </w:rPr>
        <w:t>:</w:t>
      </w:r>
      <w:r>
        <w:t xml:space="preserve"> </w:t>
      </w:r>
      <w:r w:rsidR="00100953">
        <w:t xml:space="preserve">Interleaved TBoMS </w:t>
      </w:r>
      <w:r w:rsidR="00100953" w:rsidRPr="0039166C">
        <w:t>transmissions</w:t>
      </w:r>
      <w:r w:rsidR="005E41CD" w:rsidRPr="0039166C">
        <w:t xml:space="preserve"> </w:t>
      </w:r>
      <w:r w:rsidR="00712127" w:rsidRPr="0039166C">
        <w:t>(</w:t>
      </w:r>
      <w:r w:rsidR="005E41CD" w:rsidRPr="0039166C">
        <w:t>carry</w:t>
      </w:r>
      <w:r w:rsidR="00712127" w:rsidRPr="0039166C">
        <w:t>ing different TBs)</w:t>
      </w:r>
      <w:r w:rsidR="00100953" w:rsidRPr="0039166C">
        <w:t xml:space="preserve"> are not permitted</w:t>
      </w:r>
      <w:r w:rsidR="00100953">
        <w:t>.</w:t>
      </w:r>
      <w:r w:rsidR="003047EF">
        <w:t xml:space="preserve"> A UE does not expect a TBoMS transmission in a</w:t>
      </w:r>
      <w:r w:rsidR="00FD6DD3">
        <w:t xml:space="preserve"> </w:t>
      </w:r>
      <w:r w:rsidR="00C664EE">
        <w:t>component carrier</w:t>
      </w:r>
      <w:r w:rsidR="00FD6DD3">
        <w:t xml:space="preserve"> to begin before the comp</w:t>
      </w:r>
      <w:r w:rsidR="00F548AC">
        <w:t>leti</w:t>
      </w:r>
      <w:r w:rsidR="00FD6DD3">
        <w:t>on of an ongoing TBoMS transmission</w:t>
      </w:r>
      <w:r w:rsidR="007E301A">
        <w:t xml:space="preserve"> in the same component carrier.</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771EAC9D" w:rsidR="00824450" w:rsidRDefault="00824450" w:rsidP="00016124">
      <w:pPr>
        <w:jc w:val="both"/>
      </w:pPr>
      <w:r>
        <w:t xml:space="preserve">Based on the discussion presented in </w:t>
      </w:r>
      <w:r w:rsidR="00016124">
        <w:t>t</w:t>
      </w:r>
      <w:r>
        <w:t>he earlier sections, we have the following proposals.</w:t>
      </w:r>
    </w:p>
    <w:p w14:paraId="601A9380" w14:textId="1794AB79" w:rsidR="00A14498" w:rsidRDefault="00A14498" w:rsidP="00A14498">
      <w:pPr>
        <w:overflowPunct/>
        <w:autoSpaceDE/>
        <w:autoSpaceDN/>
        <w:adjustRightInd/>
        <w:spacing w:before="120" w:after="120" w:line="276" w:lineRule="auto"/>
        <w:jc w:val="both"/>
        <w:textAlignment w:val="auto"/>
        <w:rPr>
          <w:lang w:eastAsia="zh-CN"/>
        </w:rPr>
      </w:pPr>
      <w:r w:rsidRPr="00F521B6">
        <w:rPr>
          <w:b/>
          <w:lang w:eastAsia="zh-CN"/>
        </w:rPr>
        <w:t>Proposal</w:t>
      </w:r>
      <w:r>
        <w:rPr>
          <w:b/>
          <w:lang w:eastAsia="zh-CN"/>
        </w:rPr>
        <w:t xml:space="preserve"> 1</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668B999A" w14:textId="77777777" w:rsidR="00A14498" w:rsidRDefault="00A14498" w:rsidP="00A14498">
      <w:r w:rsidRPr="00FD2096">
        <w:rPr>
          <w:b/>
          <w:bCs/>
        </w:rPr>
        <w:t>Proposal</w:t>
      </w:r>
      <w:r>
        <w:rPr>
          <w:b/>
          <w:bCs/>
        </w:rPr>
        <w:t xml:space="preserve"> 2</w:t>
      </w:r>
      <w:r w:rsidRPr="00FD2096">
        <w:rPr>
          <w:b/>
          <w:bCs/>
        </w:rPr>
        <w:t>:</w:t>
      </w:r>
      <w:r>
        <w:t xml:space="preserve"> Adopt per-slot rate matching for TBoMS transmission.</w:t>
      </w:r>
    </w:p>
    <w:p w14:paraId="74260A69" w14:textId="77777777" w:rsidR="00407D16" w:rsidRDefault="00407D16" w:rsidP="00407D16">
      <w:r w:rsidRPr="009E75A5">
        <w:rPr>
          <w:b/>
          <w:bCs/>
        </w:rPr>
        <w:t>Observation</w:t>
      </w:r>
      <w:r>
        <w:rPr>
          <w:b/>
          <w:bCs/>
        </w:rPr>
        <w:t xml:space="preserve"> 1</w:t>
      </w:r>
      <w:r w:rsidRPr="009E75A5">
        <w:rPr>
          <w:b/>
          <w:bCs/>
        </w:rPr>
        <w:t>:</w:t>
      </w:r>
      <w:r>
        <w:t xml:space="preserve"> Rate matching across slots is unlikely to benefit gNB schedulers that ensure transmission of the first slot of a TBoMS. No appreciable diversity gains are noticed.</w:t>
      </w:r>
    </w:p>
    <w:p w14:paraId="6718B7BC" w14:textId="131E4B3D" w:rsidR="004A49AD" w:rsidRDefault="004A49AD" w:rsidP="004A49AD">
      <w:pPr>
        <w:jc w:val="both"/>
      </w:pPr>
      <w:r w:rsidRPr="000036D0">
        <w:rPr>
          <w:b/>
        </w:rPr>
        <w:t xml:space="preserve">Proposal </w:t>
      </w:r>
      <w:r>
        <w:rPr>
          <w:b/>
        </w:rPr>
        <w:t>3</w:t>
      </w:r>
      <w:r w:rsidRPr="000036D0">
        <w:rPr>
          <w:b/>
        </w:rPr>
        <w:t>:</w:t>
      </w:r>
      <w:r w:rsidRPr="000036D0">
        <w:t xml:space="preserve"> </w:t>
      </w:r>
      <w:r>
        <w:t>For a single TBOMS</w:t>
      </w:r>
      <w:r w:rsidRPr="000036D0">
        <w:t xml:space="preserve">, </w:t>
      </w:r>
      <w:r>
        <w:t xml:space="preserve">to avoid error propagation issues, </w:t>
      </w:r>
      <w:r w:rsidRPr="000036D0">
        <w:t xml:space="preserve">the index of the starting coded bit for each </w:t>
      </w:r>
      <w:r>
        <w:t>slot</w:t>
      </w:r>
      <w:r w:rsidRPr="000036D0">
        <w:t xml:space="preserve"> is predetermined prior to the start of the TBoMS transmission.</w:t>
      </w:r>
    </w:p>
    <w:p w14:paraId="2542D52B" w14:textId="77777777" w:rsidR="006E279E" w:rsidRDefault="006E279E" w:rsidP="006E279E">
      <w:pPr>
        <w:jc w:val="both"/>
      </w:pPr>
      <w:r w:rsidRPr="00613AF5">
        <w:rPr>
          <w:b/>
          <w:bCs/>
        </w:rPr>
        <w:t>Proposal</w:t>
      </w:r>
      <w:r>
        <w:rPr>
          <w:b/>
          <w:bCs/>
        </w:rPr>
        <w:t xml:space="preserve"> 4</w:t>
      </w:r>
      <w:r w:rsidRPr="00613AF5">
        <w:rPr>
          <w:b/>
          <w:bCs/>
        </w:rPr>
        <w:t xml:space="preserve">: </w:t>
      </w:r>
      <w:r>
        <w:t xml:space="preserve">For retransmissions of TBOMS, support shorter duration transmissions by also allowing values of </w:t>
      </w:r>
      <m:oMath>
        <m:r>
          <w:rPr>
            <w:rFonts w:ascii="Cambria Math" w:hAnsi="Cambria Math"/>
          </w:rPr>
          <m:t>N≤ K</m:t>
        </m:r>
      </m:oMath>
      <w:r>
        <w:t xml:space="preserve"> . This ensures the same TB size can be determined for a retransmission even if the number of slots for a single TBOMS is reduced.</w:t>
      </w:r>
    </w:p>
    <w:p w14:paraId="5D53A9DC" w14:textId="77777777" w:rsidR="00D24127" w:rsidRDefault="00D24127" w:rsidP="00D24127">
      <w:pPr>
        <w:jc w:val="both"/>
        <w:rPr>
          <w:lang w:val="en-GB"/>
        </w:rPr>
      </w:pPr>
      <w:r w:rsidRPr="009835AC">
        <w:rPr>
          <w:b/>
          <w:bCs/>
          <w:lang w:val="en-GB"/>
        </w:rPr>
        <w:t>Proposal</w:t>
      </w:r>
      <w:r>
        <w:rPr>
          <w:b/>
          <w:bCs/>
          <w:lang w:val="en-GB"/>
        </w:rPr>
        <w:t xml:space="preserve"> 5</w:t>
      </w:r>
      <w:r w:rsidRPr="009835AC">
        <w:rPr>
          <w:b/>
          <w:bCs/>
          <w:lang w:val="en-GB"/>
        </w:rPr>
        <w:t>:</w:t>
      </w:r>
      <w:r>
        <w:rPr>
          <w:lang w:val="en-GB"/>
        </w:rPr>
        <w:t xml:space="preserve"> The scale factor </w:t>
      </w:r>
      <m:oMath>
        <m:r>
          <w:rPr>
            <w:rFonts w:ascii="Cambria Math" w:hAnsi="Cambria Math"/>
            <w:lang w:val="en-GB"/>
          </w:rPr>
          <m:t>K</m:t>
        </m:r>
      </m:oMath>
      <w:r>
        <w:rPr>
          <w:lang w:val="en-GB"/>
        </w:rPr>
        <w:t xml:space="preserve"> used to determine the TBS of TBoMS may take at least the following values: 2, 4, 8, 16.</w:t>
      </w:r>
    </w:p>
    <w:p w14:paraId="6D9976D9" w14:textId="77777777" w:rsidR="00D24127" w:rsidRDefault="00D24127" w:rsidP="00D24127">
      <w:pPr>
        <w:jc w:val="both"/>
      </w:pPr>
      <w:r w:rsidRPr="005270F6">
        <w:rPr>
          <w:b/>
          <w:bCs/>
        </w:rPr>
        <w:t>Proposal</w:t>
      </w:r>
      <w:r>
        <w:rPr>
          <w:b/>
          <w:bCs/>
        </w:rPr>
        <w:t xml:space="preserve"> 6</w:t>
      </w:r>
      <w:r w:rsidRPr="005270F6">
        <w:rPr>
          <w:b/>
          <w:bCs/>
        </w:rPr>
        <w:t>:</w:t>
      </w:r>
      <w:r>
        <w:t xml:space="preserve"> For TBoMS, no new </w:t>
      </w:r>
      <w:r w:rsidRPr="005270F6">
        <w:t>TB sizes are introduced.</w:t>
      </w:r>
    </w:p>
    <w:p w14:paraId="1E75B317" w14:textId="77777777" w:rsidR="00D24127" w:rsidRDefault="00D24127" w:rsidP="00D24127">
      <w:pPr>
        <w:jc w:val="both"/>
      </w:pPr>
      <w:r w:rsidRPr="00EE3C3A">
        <w:rPr>
          <w:b/>
          <w:bCs/>
        </w:rPr>
        <w:t>Proposal</w:t>
      </w:r>
      <w:r>
        <w:rPr>
          <w:b/>
          <w:bCs/>
        </w:rPr>
        <w:t xml:space="preserve"> 7</w:t>
      </w:r>
      <w:r w:rsidRPr="00EE3C3A">
        <w:rPr>
          <w:b/>
          <w:bCs/>
        </w:rPr>
        <w:t>:</w:t>
      </w:r>
      <w:r>
        <w:t xml:space="preserve"> Introduce a new R17 TDRA table that supports both legacy PUSCH transmission and TBOMS. A new column is introduced to the existing R16 TDRA table to specify the number of slots, N, of a single TBOMS. When N=1, legacy PUSCH transmission is assumed.</w:t>
      </w:r>
    </w:p>
    <w:p w14:paraId="7A3DA9C6" w14:textId="77777777" w:rsidR="00D24127" w:rsidRDefault="00D24127" w:rsidP="00D24127">
      <w:pPr>
        <w:jc w:val="both"/>
      </w:pPr>
      <w:r w:rsidRPr="00462F56">
        <w:rPr>
          <w:b/>
          <w:bCs/>
        </w:rPr>
        <w:t>Proposal</w:t>
      </w:r>
      <w:r>
        <w:rPr>
          <w:b/>
          <w:bCs/>
        </w:rPr>
        <w:t xml:space="preserve"> 8</w:t>
      </w:r>
      <w:r w:rsidRPr="00462F56">
        <w:rPr>
          <w:b/>
          <w:bCs/>
        </w:rPr>
        <w:t xml:space="preserve">: </w:t>
      </w:r>
      <w:r>
        <w:t xml:space="preserve">Restrict TBoMS transmissions to TB sizes that permit single codeblock transmissions (i.e., entire TB can be encoded as a single codeblock). Furthermore, restrict TBoMS transmission to single layer transmissions. </w:t>
      </w:r>
    </w:p>
    <w:p w14:paraId="2B5A2780" w14:textId="77777777" w:rsidR="002D76E5" w:rsidRDefault="002D76E5" w:rsidP="002D76E5">
      <w:r w:rsidRPr="00274169">
        <w:rPr>
          <w:b/>
          <w:bCs/>
          <w:lang w:val="en-GB"/>
        </w:rPr>
        <w:t>Proposal</w:t>
      </w:r>
      <w:r>
        <w:rPr>
          <w:b/>
          <w:bCs/>
          <w:lang w:val="en-GB"/>
        </w:rPr>
        <w:t xml:space="preserve"> 9</w:t>
      </w:r>
      <w:r w:rsidRPr="00274169">
        <w:rPr>
          <w:b/>
          <w:bCs/>
          <w:lang w:val="en-GB"/>
        </w:rPr>
        <w:t>:</w:t>
      </w:r>
      <w:r>
        <w:rPr>
          <w:lang w:val="en-GB"/>
        </w:rPr>
        <w:t xml:space="preserve"> </w:t>
      </w:r>
      <w:r>
        <w:t xml:space="preserve">Reuse R15/R16 framework for UCI multiplexing on PUSCH for each slot of a single TBoMS as well. </w:t>
      </w:r>
    </w:p>
    <w:p w14:paraId="643C136B" w14:textId="77777777" w:rsidR="002D76E5" w:rsidRDefault="002D76E5" w:rsidP="002D76E5">
      <w:r w:rsidRPr="00274169">
        <w:rPr>
          <w:b/>
          <w:bCs/>
          <w:lang w:val="en-GB"/>
        </w:rPr>
        <w:t>Proposal</w:t>
      </w:r>
      <w:r>
        <w:rPr>
          <w:b/>
          <w:bCs/>
          <w:lang w:val="en-GB"/>
        </w:rPr>
        <w:t xml:space="preserve"> 10</w:t>
      </w:r>
      <w:r w:rsidRPr="00274169">
        <w:rPr>
          <w:b/>
          <w:bCs/>
          <w:lang w:val="en-GB"/>
        </w:rPr>
        <w:t>:</w:t>
      </w:r>
      <w:r>
        <w:rPr>
          <w:lang w:val="en-GB"/>
        </w:rPr>
        <w:t xml:space="preserve"> R</w:t>
      </w:r>
      <w:proofErr w:type="spellStart"/>
      <w:r>
        <w:t>euse</w:t>
      </w:r>
      <w:proofErr w:type="spellEnd"/>
      <w:r>
        <w:t xml:space="preserve"> R15/R16 framework for collision handling between PUSCH and other channels/signals for collision handling between </w:t>
      </w:r>
      <w:proofErr w:type="spellStart"/>
      <w:proofErr w:type="gramStart"/>
      <w:r>
        <w:t>a</w:t>
      </w:r>
      <w:proofErr w:type="spellEnd"/>
      <w:r>
        <w:t xml:space="preserve"> each</w:t>
      </w:r>
      <w:proofErr w:type="gramEnd"/>
      <w:r>
        <w:t xml:space="preserve"> slot of a TBoMS and other channels/signals.</w:t>
      </w:r>
    </w:p>
    <w:p w14:paraId="7D0A273F" w14:textId="77777777" w:rsidR="002D76E5" w:rsidRDefault="002D76E5" w:rsidP="002D76E5">
      <w:r w:rsidRPr="003F3555">
        <w:rPr>
          <w:b/>
          <w:bCs/>
        </w:rPr>
        <w:t>Proposal</w:t>
      </w:r>
      <w:r>
        <w:rPr>
          <w:b/>
          <w:bCs/>
        </w:rPr>
        <w:t xml:space="preserve"> 11</w:t>
      </w:r>
      <w:r w:rsidRPr="003F3555">
        <w:rPr>
          <w:b/>
          <w:bCs/>
        </w:rPr>
        <w:t>:</w:t>
      </w:r>
      <w:r>
        <w:t xml:space="preserve"> Reuse the frequency hopping framework used in PUSCH Type A repetitions for TBoMS transmissions.</w:t>
      </w:r>
    </w:p>
    <w:p w14:paraId="2F9160EC" w14:textId="77777777" w:rsidR="002D76E5" w:rsidRDefault="002D76E5" w:rsidP="002D76E5">
      <w:r w:rsidRPr="003047EF">
        <w:rPr>
          <w:b/>
          <w:bCs/>
        </w:rPr>
        <w:t>Proposal</w:t>
      </w:r>
      <w:r>
        <w:rPr>
          <w:b/>
          <w:bCs/>
        </w:rPr>
        <w:t xml:space="preserve"> 12</w:t>
      </w:r>
      <w:r w:rsidRPr="003047EF">
        <w:rPr>
          <w:b/>
          <w:bCs/>
        </w:rPr>
        <w:t>:</w:t>
      </w:r>
      <w:r>
        <w:t xml:space="preserve"> Interleaved TBoMS </w:t>
      </w:r>
      <w:r w:rsidRPr="0039166C">
        <w:t>transmissions (carrying different TBs) are not permitted</w:t>
      </w:r>
      <w:r>
        <w:t>. A UE does not expect a TBoMS transmission in a component carrier to begin before the completion of an ongoing TBoMS transmission in the same component carrier.</w:t>
      </w:r>
    </w:p>
    <w:p w14:paraId="02810CFE" w14:textId="765DAAA3" w:rsidR="00746535" w:rsidRPr="002C136E" w:rsidRDefault="00746535" w:rsidP="00016124">
      <w:pPr>
        <w:pStyle w:val="Heading1"/>
        <w:jc w:val="both"/>
        <w:rPr>
          <w:rFonts w:ascii="Times New Roman" w:hAnsi="Times New Roman"/>
        </w:rPr>
      </w:pPr>
      <w:r w:rsidRPr="002C136E">
        <w:rPr>
          <w:rFonts w:ascii="Times New Roman" w:hAnsi="Times New Roman"/>
        </w:rPr>
        <w:t>Reference</w:t>
      </w:r>
      <w:r w:rsidR="00DA19D4">
        <w:rPr>
          <w:rFonts w:ascii="Times New Roman" w:hAnsi="Times New Roman"/>
        </w:rPr>
        <w:t>s</w:t>
      </w:r>
    </w:p>
    <w:p w14:paraId="23A294BD" w14:textId="5E502B8B" w:rsidR="00746535" w:rsidRPr="001C403C" w:rsidRDefault="00565EE1" w:rsidP="00CE0322">
      <w:pPr>
        <w:pStyle w:val="BodyText"/>
        <w:numPr>
          <w:ilvl w:val="0"/>
          <w:numId w:val="29"/>
        </w:numPr>
        <w:overflowPunct/>
        <w:autoSpaceDE/>
        <w:autoSpaceDN/>
        <w:adjustRightInd/>
        <w:snapToGrid w:val="0"/>
        <w:spacing w:beforeLines="50" w:before="120" w:after="120" w:line="268" w:lineRule="auto"/>
        <w:contextualSpacing/>
        <w:jc w:val="both"/>
        <w:textAlignment w:val="auto"/>
        <w:rPr>
          <w:color w:val="000000"/>
        </w:rPr>
      </w:pPr>
      <w:bookmarkStart w:id="6" w:name="_Ref40452861"/>
      <w:r>
        <w:rPr>
          <w:color w:val="000000"/>
        </w:rPr>
        <w:t xml:space="preserve">Chairman notes, </w:t>
      </w:r>
      <w:r w:rsidR="00824450" w:rsidRPr="00824450">
        <w:t>3GPP TSG RAN</w:t>
      </w:r>
      <w:r>
        <w:t>1</w:t>
      </w:r>
      <w:r w:rsidR="00824450" w:rsidRPr="00824450">
        <w:t xml:space="preserve"> meeting #</w:t>
      </w:r>
      <w:r>
        <w:t>10</w:t>
      </w:r>
      <w:r w:rsidR="00F31467">
        <w:t>5</w:t>
      </w:r>
      <w:r>
        <w:t>-</w:t>
      </w:r>
      <w:r w:rsidR="00824450" w:rsidRPr="00824450">
        <w:t xml:space="preserve">e, </w:t>
      </w:r>
      <w:bookmarkEnd w:id="6"/>
      <w:r w:rsidR="007B12FD">
        <w:t>e-</w:t>
      </w:r>
      <w:r w:rsidR="007B12FD" w:rsidRPr="00FD6836">
        <w:t xml:space="preserve">Meeting, </w:t>
      </w:r>
      <w:r w:rsidR="007B12FD" w:rsidRPr="00FD6836">
        <w:rPr>
          <w:bCs/>
        </w:rPr>
        <w:t xml:space="preserve">May 10th – 27th, </w:t>
      </w:r>
      <w:r w:rsidR="007B12FD" w:rsidRPr="00FD6836" w:rsidDel="005A4352">
        <w:rPr>
          <w:bCs/>
        </w:rPr>
        <w:t>2021</w:t>
      </w:r>
      <w:r w:rsidR="007B12FD" w:rsidRPr="00FD6836">
        <w:rPr>
          <w:bCs/>
        </w:rPr>
        <w:t>.</w:t>
      </w:r>
    </w:p>
    <w:p w14:paraId="756D5A42" w14:textId="360EB51E" w:rsidR="001C403C" w:rsidRPr="001C403C" w:rsidRDefault="001C403C" w:rsidP="00A25771">
      <w:pPr>
        <w:pStyle w:val="BodyText"/>
        <w:numPr>
          <w:ilvl w:val="0"/>
          <w:numId w:val="29"/>
        </w:numPr>
        <w:overflowPunct/>
        <w:autoSpaceDE/>
        <w:autoSpaceDN/>
        <w:adjustRightInd/>
        <w:snapToGrid w:val="0"/>
        <w:spacing w:beforeLines="50" w:before="120" w:after="120" w:line="268" w:lineRule="auto"/>
        <w:contextualSpacing/>
        <w:jc w:val="both"/>
        <w:textAlignment w:val="auto"/>
        <w:rPr>
          <w:color w:val="000000"/>
        </w:rPr>
      </w:pPr>
      <w:r w:rsidRPr="001C403C">
        <w:rPr>
          <w:color w:val="000000"/>
        </w:rPr>
        <w:t xml:space="preserve">Chairman notes, </w:t>
      </w:r>
      <w:r w:rsidRPr="00824450">
        <w:t>3GPP TSG RAN</w:t>
      </w:r>
      <w:r>
        <w:t>1</w:t>
      </w:r>
      <w:r w:rsidRPr="00824450">
        <w:t xml:space="preserve"> meeting #</w:t>
      </w:r>
      <w:r>
        <w:t>106-</w:t>
      </w:r>
      <w:r w:rsidRPr="00824450">
        <w:t xml:space="preserve">e, </w:t>
      </w:r>
      <w:r>
        <w:t>e-</w:t>
      </w:r>
      <w:r w:rsidRPr="00FD6836">
        <w:t xml:space="preserve">Meeting, </w:t>
      </w:r>
      <w:r>
        <w:rPr>
          <w:bCs/>
        </w:rPr>
        <w:t>August</w:t>
      </w:r>
      <w:r w:rsidRPr="001C403C">
        <w:rPr>
          <w:bCs/>
        </w:rPr>
        <w:t xml:space="preserve"> 1</w:t>
      </w:r>
      <w:r w:rsidR="008B16F5">
        <w:rPr>
          <w:bCs/>
        </w:rPr>
        <w:t>6</w:t>
      </w:r>
      <w:r w:rsidRPr="001C403C">
        <w:rPr>
          <w:bCs/>
        </w:rPr>
        <w:t xml:space="preserve">th – </w:t>
      </w:r>
      <w:r w:rsidR="008B16F5">
        <w:rPr>
          <w:bCs/>
        </w:rPr>
        <w:t>27</w:t>
      </w:r>
      <w:r w:rsidRPr="001C403C">
        <w:rPr>
          <w:bCs/>
        </w:rPr>
        <w:t xml:space="preserve">th, </w:t>
      </w:r>
      <w:r w:rsidRPr="001C403C" w:rsidDel="005A4352">
        <w:rPr>
          <w:bCs/>
        </w:rPr>
        <w:t>2021</w:t>
      </w:r>
      <w:r w:rsidRPr="001C403C">
        <w:rPr>
          <w:bCs/>
        </w:rPr>
        <w:t>.</w:t>
      </w:r>
    </w:p>
    <w:p w14:paraId="7D2E66EC" w14:textId="31A5BC6A" w:rsidR="001C403C" w:rsidRDefault="001C403C" w:rsidP="001C403C">
      <w:pPr>
        <w:pStyle w:val="BodyText"/>
        <w:overflowPunct/>
        <w:autoSpaceDE/>
        <w:autoSpaceDN/>
        <w:adjustRightInd/>
        <w:snapToGrid w:val="0"/>
        <w:spacing w:beforeLines="50" w:before="120" w:after="120" w:line="268" w:lineRule="auto"/>
        <w:contextualSpacing/>
        <w:jc w:val="both"/>
        <w:textAlignment w:val="auto"/>
        <w:rPr>
          <w:bCs/>
        </w:rPr>
      </w:pPr>
    </w:p>
    <w:p w14:paraId="3E39FD08" w14:textId="77777777" w:rsidR="001C403C" w:rsidRDefault="001C403C" w:rsidP="001C403C">
      <w:pPr>
        <w:pStyle w:val="BodyText"/>
        <w:overflowPunct/>
        <w:autoSpaceDE/>
        <w:autoSpaceDN/>
        <w:adjustRightInd/>
        <w:snapToGrid w:val="0"/>
        <w:spacing w:beforeLines="50" w:before="120" w:after="120" w:line="268" w:lineRule="auto"/>
        <w:contextualSpacing/>
        <w:jc w:val="both"/>
        <w:textAlignment w:val="auto"/>
        <w:rPr>
          <w:bCs/>
        </w:rPr>
      </w:pPr>
    </w:p>
    <w:p w14:paraId="77F441FA" w14:textId="77777777" w:rsidR="001C403C" w:rsidRPr="005F3676" w:rsidRDefault="001C403C" w:rsidP="001C403C">
      <w:pPr>
        <w:pStyle w:val="BodyText"/>
        <w:overflowPunct/>
        <w:autoSpaceDE/>
        <w:autoSpaceDN/>
        <w:adjustRightInd/>
        <w:snapToGrid w:val="0"/>
        <w:spacing w:beforeLines="50" w:before="120" w:after="120" w:line="268" w:lineRule="auto"/>
        <w:ind w:left="567"/>
        <w:contextualSpacing/>
        <w:jc w:val="both"/>
        <w:textAlignment w:val="auto"/>
      </w:pPr>
    </w:p>
    <w:p w14:paraId="70941D89" w14:textId="09A5C08F" w:rsidR="001C403C" w:rsidRDefault="001C403C" w:rsidP="001C403C">
      <w:pPr>
        <w:pStyle w:val="Heading1"/>
        <w:numPr>
          <w:ilvl w:val="0"/>
          <w:numId w:val="0"/>
        </w:numPr>
        <w:ind w:left="432" w:hanging="432"/>
        <w:rPr>
          <w:lang w:val="en-US"/>
        </w:rPr>
      </w:pPr>
      <w:r>
        <w:rPr>
          <w:lang w:val="en-US"/>
        </w:rPr>
        <w:lastRenderedPageBreak/>
        <w:t>Appendix A: Agreements made in RAN1 10</w:t>
      </w:r>
      <w:r w:rsidR="004B1053">
        <w:rPr>
          <w:lang w:val="en-US"/>
        </w:rPr>
        <w:t>5</w:t>
      </w:r>
      <w:r>
        <w:rPr>
          <w:lang w:val="en-US"/>
        </w:rPr>
        <w:t>-e e-meeting</w:t>
      </w:r>
    </w:p>
    <w:tbl>
      <w:tblPr>
        <w:tblStyle w:val="TableGrid"/>
        <w:tblW w:w="0" w:type="auto"/>
        <w:tblLook w:val="04A0" w:firstRow="1" w:lastRow="0" w:firstColumn="1" w:lastColumn="0" w:noHBand="0" w:noVBand="1"/>
      </w:tblPr>
      <w:tblGrid>
        <w:gridCol w:w="9350"/>
      </w:tblGrid>
      <w:tr w:rsidR="00E07B67" w14:paraId="70862081" w14:textId="77777777" w:rsidTr="00E07B67">
        <w:tc>
          <w:tcPr>
            <w:tcW w:w="9350" w:type="dxa"/>
          </w:tcPr>
          <w:p w14:paraId="6499EB06" w14:textId="77777777" w:rsidR="00E07B67" w:rsidRPr="0012524E" w:rsidRDefault="00E07B67" w:rsidP="00E07B67">
            <w:pPr>
              <w:rPr>
                <w:highlight w:val="darkYellow"/>
                <w:lang w:eastAsia="x-none"/>
              </w:rPr>
            </w:pPr>
            <w:r w:rsidRPr="0012524E">
              <w:rPr>
                <w:highlight w:val="darkYellow"/>
                <w:lang w:eastAsia="x-none"/>
              </w:rPr>
              <w:t>Working assumption</w:t>
            </w:r>
            <w:r w:rsidRPr="00772DCD">
              <w:rPr>
                <w:highlight w:val="green"/>
                <w:lang w:eastAsia="x-none"/>
              </w:rPr>
              <w:t xml:space="preserve">: </w:t>
            </w:r>
            <w:r w:rsidRPr="00772DCD">
              <w:rPr>
                <w:highlight w:val="green"/>
                <w:lang w:eastAsia="x-none"/>
              </w:rPr>
              <w:sym w:font="Wingdings" w:char="F0E0"/>
            </w:r>
            <w:r w:rsidRPr="00772DCD">
              <w:rPr>
                <w:highlight w:val="green"/>
                <w:lang w:eastAsia="x-none"/>
              </w:rPr>
              <w:t xml:space="preserve"> Agreement:</w:t>
            </w:r>
          </w:p>
          <w:p w14:paraId="7FDA3040" w14:textId="77777777" w:rsidR="00E07B67" w:rsidRPr="0012524E" w:rsidRDefault="00E07B67" w:rsidP="00E07B67">
            <w:pPr>
              <w:jc w:val="both"/>
            </w:pPr>
            <w:r w:rsidRPr="0012524E">
              <w:t>For TBS determination of TBoMS:</w:t>
            </w:r>
          </w:p>
          <w:p w14:paraId="7079F6BE" w14:textId="77777777" w:rsidR="00E07B67" w:rsidRPr="0012524E" w:rsidRDefault="00E07B67" w:rsidP="00E07B67">
            <w:pPr>
              <w:pStyle w:val="ListParagraph"/>
              <w:numPr>
                <w:ilvl w:val="0"/>
                <w:numId w:val="30"/>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lang w:val="en-US"/>
              </w:rPr>
              <w:t xml:space="preserve"> is configured by xOverhead and represents the overhead per slot.</w:t>
            </w:r>
          </w:p>
          <w:p w14:paraId="11FBBBA8" w14:textId="77777777" w:rsidR="00E07B67" w:rsidRPr="0012524E" w:rsidRDefault="00E07B67" w:rsidP="00E07B67">
            <w:pPr>
              <w:pStyle w:val="ListParagraph"/>
              <w:numPr>
                <w:ilvl w:val="0"/>
                <w:numId w:val="30"/>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rFonts w:eastAsia="SimSun"/>
                <w:lang w:val="en-US"/>
              </w:rPr>
              <w:t xml:space="preserve"> is </w:t>
            </w:r>
            <w:r w:rsidRPr="0012524E">
              <w:rPr>
                <w:lang w:val="en-US"/>
              </w:rPr>
              <w:t xml:space="preserve">assumed to be the same for all the slots over which the TBoMS transmission is allocated. </w:t>
            </w:r>
          </w:p>
          <w:p w14:paraId="015ACD6A" w14:textId="77777777" w:rsidR="00E07B67" w:rsidRPr="0012524E" w:rsidRDefault="00E07B67" w:rsidP="00E07B67">
            <w:pPr>
              <w:jc w:val="both"/>
            </w:pPr>
            <w:r w:rsidRPr="0012524E">
              <w:t xml:space="preserve">Note: </w:t>
            </w:r>
            <w:r w:rsidRPr="0012524E">
              <w:rPr>
                <w:lang w:val="en-US"/>
              </w:rPr>
              <w:t>xOverhead configuration is as per Rel-15/16.</w:t>
            </w:r>
          </w:p>
          <w:p w14:paraId="13870386" w14:textId="77777777" w:rsidR="00E07B67" w:rsidRPr="002B5103" w:rsidRDefault="00E07B67" w:rsidP="00E07B67">
            <w:pPr>
              <w:jc w:val="both"/>
              <w:rPr>
                <w:highlight w:val="green"/>
                <w:lang w:val="en-US" w:eastAsia="fr-FR"/>
              </w:rPr>
            </w:pPr>
            <w:r w:rsidRPr="002B5103">
              <w:rPr>
                <w:highlight w:val="green"/>
                <w:lang w:val="en-US"/>
              </w:rPr>
              <w:t>Agreement:</w:t>
            </w:r>
          </w:p>
          <w:p w14:paraId="3D9EDF02" w14:textId="77777777" w:rsidR="00E07B67" w:rsidRPr="002B5103" w:rsidRDefault="00E07B67" w:rsidP="00E07B67">
            <w:pPr>
              <w:jc w:val="both"/>
              <w:rPr>
                <w:rFonts w:ascii="Calibri" w:hAnsi="Calibri" w:cs="Calibri"/>
                <w:lang w:val="en-US"/>
              </w:rPr>
            </w:pPr>
            <w:r w:rsidRPr="002B5103">
              <w:rPr>
                <w:lang w:val="en-US"/>
              </w:rPr>
              <w:t>The following 2 options for time domain resource determination for TBoMS are considered for down-selection during RAN1 #105-e:</w:t>
            </w:r>
          </w:p>
          <w:p w14:paraId="12DE1EF7" w14:textId="77777777" w:rsidR="00E07B67" w:rsidRPr="002B5103" w:rsidRDefault="00E07B67" w:rsidP="00E07B67">
            <w:pPr>
              <w:numPr>
                <w:ilvl w:val="0"/>
                <w:numId w:val="31"/>
              </w:numPr>
              <w:overflowPunct/>
              <w:autoSpaceDE/>
              <w:autoSpaceDN/>
              <w:adjustRightInd/>
              <w:spacing w:after="0" w:line="256" w:lineRule="auto"/>
              <w:jc w:val="both"/>
              <w:textAlignment w:val="auto"/>
              <w:rPr>
                <w:rFonts w:eastAsia="Times New Roman"/>
              </w:rPr>
            </w:pPr>
            <w:r w:rsidRPr="002B5103">
              <w:rPr>
                <w:rFonts w:eastAsia="Times New Roman"/>
              </w:rPr>
              <w:t>Option 1: Time domain resource determination for TBoMS can be performed only via PUSCH repetition Type A like TDRA.</w:t>
            </w:r>
            <w:r w:rsidRPr="002B5103">
              <w:rPr>
                <w:rFonts w:eastAsia="Times New Roman"/>
                <w:lang w:val="en-US"/>
              </w:rPr>
              <w:t xml:space="preserve"> </w:t>
            </w:r>
          </w:p>
          <w:p w14:paraId="6E56B39B" w14:textId="77777777" w:rsidR="00E07B67" w:rsidRPr="002B5103" w:rsidRDefault="00E07B67" w:rsidP="00E07B67">
            <w:pPr>
              <w:numPr>
                <w:ilvl w:val="0"/>
                <w:numId w:val="31"/>
              </w:numPr>
              <w:overflowPunct/>
              <w:autoSpaceDE/>
              <w:autoSpaceDN/>
              <w:adjustRightInd/>
              <w:spacing w:after="0" w:line="256" w:lineRule="auto"/>
              <w:jc w:val="both"/>
              <w:textAlignment w:val="auto"/>
              <w:rPr>
                <w:rFonts w:eastAsia="Times New Roman"/>
              </w:rPr>
            </w:pPr>
            <w:r w:rsidRPr="002B5103">
              <w:rPr>
                <w:rFonts w:eastAsia="Times New Roman"/>
              </w:rPr>
              <w:t>Option 2: Time domain resource determination for TBoMS can be performed via PUSCH repetition Type A like TDRA or via PUSCH repetition Type B like TDRA.</w:t>
            </w:r>
          </w:p>
          <w:p w14:paraId="0F354543" w14:textId="77777777" w:rsidR="00E07B67" w:rsidRPr="002B5103" w:rsidRDefault="00E07B67" w:rsidP="00E07B67">
            <w:pPr>
              <w:numPr>
                <w:ilvl w:val="1"/>
                <w:numId w:val="32"/>
              </w:numPr>
              <w:overflowPunct/>
              <w:autoSpaceDE/>
              <w:autoSpaceDN/>
              <w:adjustRightInd/>
              <w:spacing w:after="0" w:line="256" w:lineRule="auto"/>
              <w:jc w:val="both"/>
              <w:textAlignment w:val="auto"/>
              <w:rPr>
                <w:rFonts w:eastAsia="Times New Roman"/>
              </w:rPr>
            </w:pPr>
            <w:r w:rsidRPr="002B5103">
              <w:rPr>
                <w:rFonts w:eastAsia="Times New Roman"/>
              </w:rPr>
              <w:t>The use of PUSCH repetition Type B like TDRA for time domain resource determination is according to an additional UE capability for a TBoMS capable UE.</w:t>
            </w:r>
          </w:p>
          <w:p w14:paraId="09AEC9E0" w14:textId="77777777" w:rsidR="00E07B67" w:rsidRDefault="00E07B67" w:rsidP="00E07B67">
            <w:pPr>
              <w:numPr>
                <w:ilvl w:val="1"/>
                <w:numId w:val="32"/>
              </w:numPr>
              <w:overflowPunct/>
              <w:autoSpaceDE/>
              <w:autoSpaceDN/>
              <w:adjustRightInd/>
              <w:spacing w:after="0" w:line="256" w:lineRule="auto"/>
              <w:jc w:val="both"/>
              <w:textAlignment w:val="auto"/>
              <w:rPr>
                <w:rFonts w:eastAsia="Times New Roman"/>
              </w:rPr>
            </w:pPr>
            <w:r w:rsidRPr="009A7D67">
              <w:rPr>
                <w:rFonts w:eastAsia="Times New Roman"/>
              </w:rPr>
              <w:t>FFS DMRS pattern for PUSCH repetition Type B like TDRA</w:t>
            </w:r>
          </w:p>
          <w:p w14:paraId="11834223" w14:textId="77777777" w:rsidR="00E07B67" w:rsidRDefault="00E07B67" w:rsidP="00E07B67">
            <w:pPr>
              <w:spacing w:line="256" w:lineRule="auto"/>
              <w:jc w:val="both"/>
              <w:rPr>
                <w:rFonts w:eastAsia="Times New Roman"/>
              </w:rPr>
            </w:pPr>
          </w:p>
          <w:p w14:paraId="738CEF2F" w14:textId="77777777" w:rsidR="00E07B67" w:rsidRPr="00740B68" w:rsidRDefault="00E07B67" w:rsidP="00E07B67">
            <w:pPr>
              <w:rPr>
                <w:highlight w:val="green"/>
                <w:lang w:val="en-US"/>
              </w:rPr>
            </w:pPr>
            <w:r w:rsidRPr="00740B68">
              <w:rPr>
                <w:highlight w:val="green"/>
                <w:lang w:val="en-US"/>
              </w:rPr>
              <w:t>Agreement:</w:t>
            </w:r>
          </w:p>
          <w:p w14:paraId="00C0E04E" w14:textId="77777777" w:rsidR="00E07B67" w:rsidRPr="00740B68" w:rsidRDefault="00E07B67" w:rsidP="00E07B67">
            <w:pPr>
              <w:spacing w:line="252" w:lineRule="auto"/>
              <w:rPr>
                <w:rFonts w:eastAsia="Times New Roman"/>
                <w:lang w:val="en-US"/>
              </w:rPr>
            </w:pPr>
            <w:r w:rsidRPr="00740B68">
              <w:rPr>
                <w:rFonts w:eastAsia="Times New Roman"/>
              </w:rPr>
              <w:t>Time domain resource determination for TBoMS can be performed only via PUSCH repetition Type A like TDRA.</w:t>
            </w:r>
            <w:r w:rsidRPr="00740B68">
              <w:rPr>
                <w:rFonts w:eastAsia="Times New Roman"/>
                <w:lang w:val="en-US"/>
              </w:rPr>
              <w:t xml:space="preserve"> </w:t>
            </w:r>
          </w:p>
          <w:p w14:paraId="0269B820" w14:textId="77777777" w:rsidR="00E07B67" w:rsidRPr="00740B68" w:rsidRDefault="00E07B67" w:rsidP="00E07B67">
            <w:pPr>
              <w:numPr>
                <w:ilvl w:val="0"/>
                <w:numId w:val="36"/>
              </w:numPr>
              <w:overflowPunct/>
              <w:autoSpaceDE/>
              <w:autoSpaceDN/>
              <w:adjustRightInd/>
              <w:spacing w:after="0" w:line="252" w:lineRule="auto"/>
              <w:textAlignment w:val="auto"/>
              <w:rPr>
                <w:rFonts w:eastAsia="Times New Roman"/>
                <w:lang w:val="en-US"/>
              </w:rPr>
            </w:pPr>
            <w:r w:rsidRPr="00740B68">
              <w:rPr>
                <w:rFonts w:eastAsia="Times New Roman"/>
                <w:lang w:val="en-US"/>
              </w:rPr>
              <w:t>FFS: details</w:t>
            </w:r>
          </w:p>
          <w:p w14:paraId="2CC96869" w14:textId="77777777" w:rsidR="00E07B67" w:rsidRPr="00740B68" w:rsidRDefault="00E07B67" w:rsidP="00E07B67">
            <w:pPr>
              <w:numPr>
                <w:ilvl w:val="0"/>
                <w:numId w:val="36"/>
              </w:numPr>
              <w:overflowPunct/>
              <w:autoSpaceDE/>
              <w:autoSpaceDN/>
              <w:adjustRightInd/>
              <w:spacing w:after="0"/>
              <w:textAlignment w:val="auto"/>
            </w:pPr>
            <w:r w:rsidRPr="00740B68">
              <w:t xml:space="preserve">FFS: </w:t>
            </w:r>
            <w:proofErr w:type="gramStart"/>
            <w:r w:rsidRPr="00740B68">
              <w:t>whether or not</w:t>
            </w:r>
            <w:proofErr w:type="gramEnd"/>
            <w:r w:rsidRPr="00740B68">
              <w:t xml:space="preserve"> optimizations </w:t>
            </w:r>
            <w:r w:rsidRPr="00740B68">
              <w:rPr>
                <w:rFonts w:eastAsia="Times New Roman"/>
              </w:rPr>
              <w:t xml:space="preserve">for time domain resource determination </w:t>
            </w:r>
            <w:r w:rsidRPr="00740B68">
              <w:t xml:space="preserve">are necessary for allocating resource in the S slots (for the unpaired spectrum case) </w:t>
            </w:r>
          </w:p>
          <w:p w14:paraId="45B75FBE" w14:textId="77777777" w:rsidR="00E07B67" w:rsidRDefault="00E07B67" w:rsidP="00E07B67">
            <w:pPr>
              <w:spacing w:line="256" w:lineRule="auto"/>
              <w:jc w:val="both"/>
              <w:rPr>
                <w:rFonts w:eastAsia="Times New Roman"/>
              </w:rPr>
            </w:pPr>
          </w:p>
          <w:p w14:paraId="26E0D42E" w14:textId="77777777" w:rsidR="00E07B67" w:rsidRPr="00740B68" w:rsidRDefault="00E07B67" w:rsidP="00E07B67">
            <w:pPr>
              <w:rPr>
                <w:b/>
                <w:bCs/>
                <w:highlight w:val="darkYellow"/>
              </w:rPr>
            </w:pPr>
            <w:r w:rsidRPr="00740B68">
              <w:rPr>
                <w:b/>
                <w:bCs/>
                <w:highlight w:val="darkYellow"/>
              </w:rPr>
              <w:t>Working assumption</w:t>
            </w:r>
          </w:p>
          <w:p w14:paraId="1A38A3E8" w14:textId="77777777" w:rsidR="00E07B67" w:rsidRPr="00740B68" w:rsidRDefault="00E07B67" w:rsidP="00E07B67">
            <w:pPr>
              <w:rPr>
                <w:lang w:val="en-US"/>
              </w:rPr>
            </w:pPr>
            <w:r w:rsidRPr="00740B68">
              <w:rPr>
                <w:lang w:val="en-US"/>
              </w:rPr>
              <w:t>Allocating resources for TBoMS in the special slot in TDD is possible according to the agreed time domain resource determination for TBoMS.</w:t>
            </w:r>
          </w:p>
          <w:p w14:paraId="09F4C1CB" w14:textId="77777777" w:rsidR="00E07B67" w:rsidRPr="002866FA" w:rsidRDefault="00E07B67" w:rsidP="00E07B67">
            <w:pPr>
              <w:rPr>
                <w:b/>
                <w:bCs/>
                <w:highlight w:val="darkYellow"/>
                <w:lang w:val="en-US"/>
              </w:rPr>
            </w:pPr>
            <w:r w:rsidRPr="002866FA">
              <w:rPr>
                <w:b/>
                <w:bCs/>
                <w:highlight w:val="darkYellow"/>
                <w:lang w:val="en-US"/>
              </w:rPr>
              <w:t>Working assumption</w:t>
            </w:r>
          </w:p>
          <w:p w14:paraId="0DBB394E" w14:textId="77777777" w:rsidR="00E07B67" w:rsidRPr="00A33834" w:rsidRDefault="00E07B67" w:rsidP="00E07B67">
            <w:pPr>
              <w:spacing w:line="252" w:lineRule="auto"/>
              <w:rPr>
                <w:lang w:val="en-US"/>
              </w:rPr>
            </w:pPr>
            <w:r w:rsidRPr="002866FA">
              <w:rPr>
                <w:lang w:val="en-US"/>
              </w:rPr>
              <w:t xml:space="preserve">A transmission occasion for TBoMS (TOT) is constituted </w:t>
            </w:r>
            <w:r w:rsidRPr="00A33834">
              <w:rPr>
                <w:lang w:val="en-US"/>
              </w:rPr>
              <w:t xml:space="preserve">of at least one slot or multiple consecutive physical slots for UL transmission </w:t>
            </w:r>
          </w:p>
          <w:p w14:paraId="62920D6C" w14:textId="77777777" w:rsidR="00E07B67" w:rsidRPr="00A33834" w:rsidRDefault="00E07B67" w:rsidP="00E07B67">
            <w:pPr>
              <w:pStyle w:val="ListParagraph"/>
              <w:numPr>
                <w:ilvl w:val="0"/>
                <w:numId w:val="33"/>
              </w:numPr>
              <w:overflowPunct/>
              <w:autoSpaceDE/>
              <w:autoSpaceDN/>
              <w:adjustRightInd/>
              <w:spacing w:after="0" w:line="252" w:lineRule="auto"/>
              <w:jc w:val="both"/>
              <w:textAlignment w:val="auto"/>
              <w:rPr>
                <w:lang w:val="en-US"/>
              </w:rPr>
            </w:pPr>
            <w:r w:rsidRPr="00A33834">
              <w:rPr>
                <w:lang w:val="en-US"/>
              </w:rPr>
              <w:t>FFS: whether the concept of TOT will be used for designing aspects related to signal generation, e.g., rate-matching, power control, etc.</w:t>
            </w:r>
          </w:p>
          <w:p w14:paraId="1819C8E5" w14:textId="77777777" w:rsidR="00E07B67" w:rsidRPr="002866FA" w:rsidRDefault="00E07B67" w:rsidP="00E07B67">
            <w:pPr>
              <w:pStyle w:val="ListParagraph"/>
              <w:numPr>
                <w:ilvl w:val="0"/>
                <w:numId w:val="33"/>
              </w:numPr>
              <w:overflowPunct/>
              <w:autoSpaceDE/>
              <w:autoSpaceDN/>
              <w:adjustRightInd/>
              <w:spacing w:after="0" w:line="252" w:lineRule="auto"/>
              <w:jc w:val="both"/>
              <w:textAlignment w:val="auto"/>
              <w:rPr>
                <w:lang w:val="en-US"/>
              </w:rPr>
            </w:pPr>
            <w:r w:rsidRPr="002866FA">
              <w:rPr>
                <w:lang w:val="en-US"/>
              </w:rPr>
              <w:t>FFS: whether such concept will be specified or not.</w:t>
            </w:r>
          </w:p>
          <w:p w14:paraId="303CB8CF" w14:textId="77777777" w:rsidR="00E07B67" w:rsidRDefault="00E07B67" w:rsidP="00E07B67">
            <w:pPr>
              <w:rPr>
                <w:lang w:val="en-US"/>
              </w:rPr>
            </w:pPr>
          </w:p>
          <w:p w14:paraId="248A98D8" w14:textId="77777777" w:rsidR="00E07B67" w:rsidRDefault="00E07B67" w:rsidP="00E07B67">
            <w:pPr>
              <w:rPr>
                <w:lang w:val="en-US"/>
              </w:rPr>
            </w:pPr>
          </w:p>
          <w:p w14:paraId="7416606C" w14:textId="77777777" w:rsidR="00E07B67" w:rsidRPr="002866FA" w:rsidRDefault="00E07B67" w:rsidP="00E07B67">
            <w:pPr>
              <w:rPr>
                <w:highlight w:val="green"/>
              </w:rPr>
            </w:pPr>
            <w:r w:rsidRPr="002866FA">
              <w:rPr>
                <w:highlight w:val="green"/>
              </w:rPr>
              <w:t>Agreement:</w:t>
            </w:r>
          </w:p>
          <w:p w14:paraId="197DF3CA" w14:textId="77777777" w:rsidR="00E07B67" w:rsidRPr="002866FA" w:rsidRDefault="00E07B67" w:rsidP="00E07B67">
            <w:pPr>
              <w:numPr>
                <w:ilvl w:val="0"/>
                <w:numId w:val="35"/>
              </w:numPr>
              <w:overflowPunct/>
              <w:autoSpaceDE/>
              <w:autoSpaceDN/>
              <w:adjustRightInd/>
              <w:spacing w:after="0"/>
              <w:textAlignment w:val="auto"/>
            </w:pPr>
            <w:r w:rsidRPr="002866FA">
              <w:t>The structure of TBoMS will be according to only one of these two options (to be down-selected in RAN1#106-e)</w:t>
            </w:r>
          </w:p>
          <w:p w14:paraId="0FFE5D3C" w14:textId="77777777" w:rsidR="00E07B67" w:rsidRPr="002866FA" w:rsidRDefault="00E07B67" w:rsidP="00E07B67">
            <w:pPr>
              <w:pStyle w:val="ListParagraph"/>
              <w:numPr>
                <w:ilvl w:val="1"/>
                <w:numId w:val="31"/>
              </w:numPr>
              <w:overflowPunct/>
              <w:autoSpaceDE/>
              <w:autoSpaceDN/>
              <w:adjustRightInd/>
              <w:spacing w:line="256" w:lineRule="auto"/>
              <w:jc w:val="both"/>
              <w:textAlignment w:val="auto"/>
            </w:pPr>
            <w:r w:rsidRPr="002866FA">
              <w:t xml:space="preserve">Option 3, if a design based on single RV is adopted. </w:t>
            </w:r>
          </w:p>
          <w:p w14:paraId="2C4B79E6" w14:textId="77777777" w:rsidR="00E07B67" w:rsidRPr="002866FA" w:rsidRDefault="00E07B67" w:rsidP="00E07B67">
            <w:pPr>
              <w:pStyle w:val="ListParagraph"/>
              <w:numPr>
                <w:ilvl w:val="1"/>
                <w:numId w:val="31"/>
              </w:numPr>
              <w:overflowPunct/>
              <w:autoSpaceDE/>
              <w:autoSpaceDN/>
              <w:adjustRightInd/>
              <w:spacing w:line="256" w:lineRule="auto"/>
              <w:jc w:val="both"/>
              <w:textAlignment w:val="auto"/>
            </w:pPr>
            <w:r w:rsidRPr="002866FA">
              <w:t xml:space="preserve">Option 4, if a design based on different RVs is adopted. </w:t>
            </w:r>
          </w:p>
          <w:p w14:paraId="669041BF" w14:textId="77777777" w:rsidR="00E07B67" w:rsidRPr="002866FA" w:rsidRDefault="00E07B67" w:rsidP="00E07B67">
            <w:pPr>
              <w:numPr>
                <w:ilvl w:val="0"/>
                <w:numId w:val="31"/>
              </w:numPr>
              <w:overflowPunct/>
              <w:autoSpaceDE/>
              <w:autoSpaceDN/>
              <w:adjustRightInd/>
              <w:spacing w:after="0"/>
              <w:textAlignment w:val="auto"/>
            </w:pPr>
            <w:r w:rsidRPr="002866FA">
              <w:t xml:space="preserve">FFS: other details, e.g., rate-matching, TBS determination, collision handling, etc. </w:t>
            </w:r>
          </w:p>
          <w:p w14:paraId="47372A62" w14:textId="77777777" w:rsidR="00E07B67" w:rsidRPr="002866FA" w:rsidRDefault="00E07B67" w:rsidP="00E07B67">
            <w:pPr>
              <w:numPr>
                <w:ilvl w:val="0"/>
                <w:numId w:val="31"/>
              </w:numPr>
              <w:overflowPunct/>
              <w:autoSpaceDE/>
              <w:autoSpaceDN/>
              <w:adjustRightInd/>
              <w:spacing w:after="0"/>
              <w:textAlignment w:val="auto"/>
            </w:pPr>
            <w:r w:rsidRPr="002866FA">
              <w:t>The single RV is not constrained to have only the same coded bits in each slot or in each TOT</w:t>
            </w:r>
          </w:p>
          <w:p w14:paraId="2A61BDF5" w14:textId="77777777" w:rsidR="00E07B67" w:rsidRDefault="00E07B67" w:rsidP="00E07B67">
            <w:pPr>
              <w:numPr>
                <w:ilvl w:val="0"/>
                <w:numId w:val="31"/>
              </w:numPr>
              <w:overflowPunct/>
              <w:autoSpaceDE/>
              <w:autoSpaceDN/>
              <w:adjustRightInd/>
              <w:spacing w:after="0"/>
              <w:textAlignment w:val="auto"/>
            </w:pPr>
            <w:r w:rsidRPr="002866FA">
              <w:lastRenderedPageBreak/>
              <w:t xml:space="preserve">The concept of TOT as per the corresponding Working assumption is used to define Option 3 and Option 4 and may or may not be used to design other details, e.g., rate-matching, TBS determination, collision handling and so on. </w:t>
            </w:r>
          </w:p>
          <w:p w14:paraId="02C11701" w14:textId="77777777" w:rsidR="00E07B67" w:rsidRPr="009F5DFD" w:rsidRDefault="00E07B67" w:rsidP="00E07B67">
            <w:pPr>
              <w:rPr>
                <w:color w:val="FF0000"/>
              </w:rPr>
            </w:pPr>
          </w:p>
          <w:p w14:paraId="449C4147" w14:textId="77777777" w:rsidR="00E07B67" w:rsidRPr="00847921" w:rsidRDefault="00E07B67" w:rsidP="00E07B67">
            <w:pPr>
              <w:rPr>
                <w:highlight w:val="green"/>
                <w:lang w:val="en-US"/>
              </w:rPr>
            </w:pPr>
            <w:r w:rsidRPr="00847921">
              <w:rPr>
                <w:highlight w:val="green"/>
                <w:lang w:val="en-US"/>
              </w:rPr>
              <w:t>Agreement:</w:t>
            </w:r>
          </w:p>
          <w:p w14:paraId="39811850" w14:textId="77777777" w:rsidR="00E07B67" w:rsidRPr="00847921" w:rsidRDefault="00E07B67" w:rsidP="00E07B67">
            <w:pPr>
              <w:rPr>
                <w:lang w:val="en-US"/>
              </w:rPr>
            </w:pPr>
            <w:r w:rsidRPr="00847921">
              <w:rPr>
                <w:lang w:val="en-US"/>
              </w:rPr>
              <w:t>The following three options for rate-matching for TBoMS are considered for down-selection during RAN1 #106-e, where only one option will be selected:</w:t>
            </w:r>
          </w:p>
          <w:p w14:paraId="288E858A" w14:textId="77777777" w:rsidR="00E07B67" w:rsidRPr="00847921" w:rsidRDefault="00E07B67" w:rsidP="00E07B67">
            <w:pPr>
              <w:pStyle w:val="ListParagraph"/>
              <w:numPr>
                <w:ilvl w:val="0"/>
                <w:numId w:val="34"/>
              </w:numPr>
              <w:overflowPunct/>
              <w:autoSpaceDE/>
              <w:autoSpaceDN/>
              <w:adjustRightInd/>
              <w:spacing w:line="256" w:lineRule="auto"/>
              <w:jc w:val="both"/>
              <w:textAlignment w:val="auto"/>
              <w:rPr>
                <w:lang w:val="en-US"/>
              </w:rPr>
            </w:pPr>
            <w:r w:rsidRPr="00847921">
              <w:rPr>
                <w:lang w:val="en-US"/>
              </w:rPr>
              <w:t xml:space="preserve">Option a: Rate-matching is performed per </w:t>
            </w:r>
            <w:proofErr w:type="gramStart"/>
            <w:r w:rsidRPr="00847921">
              <w:rPr>
                <w:lang w:val="en-US"/>
              </w:rPr>
              <w:t>slot;</w:t>
            </w:r>
            <w:proofErr w:type="gramEnd"/>
          </w:p>
          <w:p w14:paraId="7EA5B5C1" w14:textId="77777777" w:rsidR="00E07B67" w:rsidRPr="00847921" w:rsidRDefault="00E07B67" w:rsidP="00E07B67">
            <w:pPr>
              <w:pStyle w:val="ListParagraph"/>
              <w:numPr>
                <w:ilvl w:val="0"/>
                <w:numId w:val="34"/>
              </w:numPr>
              <w:overflowPunct/>
              <w:autoSpaceDE/>
              <w:autoSpaceDN/>
              <w:adjustRightInd/>
              <w:spacing w:line="256" w:lineRule="auto"/>
              <w:jc w:val="both"/>
              <w:textAlignment w:val="auto"/>
              <w:rPr>
                <w:lang w:val="en-US"/>
              </w:rPr>
            </w:pPr>
            <w:r w:rsidRPr="00847921">
              <w:rPr>
                <w:lang w:val="en-US"/>
              </w:rPr>
              <w:t xml:space="preserve">Option b: Rate matching is performed continuously across all the allocated slot(s) per </w:t>
            </w:r>
            <w:proofErr w:type="gramStart"/>
            <w:r w:rsidRPr="00847921">
              <w:rPr>
                <w:lang w:val="en-US"/>
              </w:rPr>
              <w:t>TOT;</w:t>
            </w:r>
            <w:proofErr w:type="gramEnd"/>
          </w:p>
          <w:p w14:paraId="363A96EA" w14:textId="77777777" w:rsidR="00E07B67" w:rsidRPr="00847921" w:rsidRDefault="00E07B67" w:rsidP="00E07B67">
            <w:pPr>
              <w:pStyle w:val="ListParagraph"/>
              <w:numPr>
                <w:ilvl w:val="0"/>
                <w:numId w:val="34"/>
              </w:numPr>
              <w:overflowPunct/>
              <w:autoSpaceDE/>
              <w:autoSpaceDN/>
              <w:adjustRightInd/>
              <w:spacing w:line="256" w:lineRule="auto"/>
              <w:jc w:val="both"/>
              <w:textAlignment w:val="auto"/>
              <w:rPr>
                <w:lang w:val="en-US"/>
              </w:rPr>
            </w:pPr>
            <w:r w:rsidRPr="00847921">
              <w:rPr>
                <w:lang w:val="en-US"/>
              </w:rPr>
              <w:t>Option c: Rate matching is performed continuously across all the allocated slots/TOTs for TBoMS</w:t>
            </w:r>
          </w:p>
          <w:p w14:paraId="00BC54C5" w14:textId="77777777" w:rsidR="00E07B67" w:rsidRPr="00847921" w:rsidRDefault="00E07B67" w:rsidP="00E07B67">
            <w:r w:rsidRPr="00847921">
              <w:rPr>
                <w:lang w:val="en-US"/>
              </w:rPr>
              <w:t xml:space="preserve">Note: </w:t>
            </w:r>
            <w:r w:rsidRPr="00847921">
              <w:t>“</w:t>
            </w:r>
            <w:r w:rsidRPr="00847921">
              <w:rPr>
                <w:lang w:val="en-US" w:eastAsia="zh-CN"/>
              </w:rPr>
              <w:t>rate-matching is performed per X” means that the time unit for the</w:t>
            </w:r>
            <w:r w:rsidRPr="00847921">
              <w:t xml:space="preserve"> bit selection and bit interleaving is X. </w:t>
            </w:r>
          </w:p>
          <w:p w14:paraId="540CC12A" w14:textId="77777777" w:rsidR="00E07B67" w:rsidRPr="00847921" w:rsidRDefault="00E07B67" w:rsidP="00E07B67">
            <w:pPr>
              <w:rPr>
                <w:lang w:val="en-US"/>
              </w:rPr>
            </w:pPr>
            <w:r w:rsidRPr="00847921">
              <w:t>Note2: the above 3 options imply that the UL resource in the time unit may or may not be consecutive (depending on the given option)</w:t>
            </w:r>
          </w:p>
          <w:p w14:paraId="085B398F" w14:textId="77777777" w:rsidR="00E07B67" w:rsidRPr="002E1BDD" w:rsidRDefault="00E07B67" w:rsidP="00E07B67">
            <w:pPr>
              <w:rPr>
                <w:highlight w:val="green"/>
              </w:rPr>
            </w:pPr>
            <w:r w:rsidRPr="002E1BDD">
              <w:rPr>
                <w:highlight w:val="green"/>
              </w:rPr>
              <w:t>Agreement:</w:t>
            </w:r>
          </w:p>
          <w:p w14:paraId="2EBBE4F6" w14:textId="77777777" w:rsidR="00E07B67" w:rsidRPr="002E1BDD" w:rsidRDefault="00E07B67" w:rsidP="00E07B67">
            <w:r w:rsidRPr="002E1BDD">
              <w:t>Number of slots allocated for TBoMS is determined by using a row index of a TDRA list, configured via RRC.</w:t>
            </w:r>
          </w:p>
          <w:p w14:paraId="794B8C2D" w14:textId="77777777" w:rsidR="00E07B67" w:rsidRPr="002E1BDD" w:rsidRDefault="00E07B67" w:rsidP="00E07B67">
            <w:pPr>
              <w:numPr>
                <w:ilvl w:val="0"/>
                <w:numId w:val="39"/>
              </w:numPr>
              <w:overflowPunct/>
              <w:autoSpaceDE/>
              <w:autoSpaceDN/>
              <w:adjustRightInd/>
              <w:spacing w:after="0"/>
              <w:textAlignment w:val="auto"/>
            </w:pPr>
            <w:r w:rsidRPr="002E1BDD">
              <w:t>FFS: details.</w:t>
            </w:r>
          </w:p>
          <w:p w14:paraId="624DA03E" w14:textId="77777777" w:rsidR="00E07B67" w:rsidRDefault="00E07B67" w:rsidP="00E07B67"/>
          <w:p w14:paraId="57095B24" w14:textId="77777777" w:rsidR="00E07B67" w:rsidRPr="00AF07C0" w:rsidRDefault="00E07B67" w:rsidP="00E07B67">
            <w:r w:rsidRPr="00AF07C0">
              <w:rPr>
                <w:highlight w:val="green"/>
              </w:rPr>
              <w:t>Agreement:</w:t>
            </w:r>
          </w:p>
          <w:p w14:paraId="1CFA4E25" w14:textId="77777777" w:rsidR="00E07B67" w:rsidRPr="00AF07C0" w:rsidRDefault="00E07B67" w:rsidP="00E07B67">
            <w:r w:rsidRPr="00AF07C0">
              <w:t>The following approach is used to calculate</w:t>
            </w:r>
            <w:r w:rsidRPr="00AF07C0">
              <w:rPr>
                <w:lang w:val="fr-FR"/>
              </w:rPr>
              <w:t> </w:t>
            </w:r>
            <w:proofErr w:type="spellStart"/>
            <w:r w:rsidRPr="00AF07C0">
              <w:t>N</w:t>
            </w:r>
            <w:r w:rsidRPr="00AF07C0">
              <w:rPr>
                <w:vertAlign w:val="subscript"/>
              </w:rPr>
              <w:t>Info</w:t>
            </w:r>
            <w:proofErr w:type="spellEnd"/>
            <w:r w:rsidRPr="00AF07C0">
              <w:t xml:space="preserve"> for TBoMS:</w:t>
            </w:r>
          </w:p>
          <w:p w14:paraId="4994A1A8" w14:textId="77777777" w:rsidR="00E07B67" w:rsidRPr="00AF07C0" w:rsidRDefault="00E07B67" w:rsidP="00E07B67">
            <w:pPr>
              <w:numPr>
                <w:ilvl w:val="0"/>
                <w:numId w:val="37"/>
              </w:numPr>
              <w:overflowPunct/>
              <w:autoSpaceDE/>
              <w:autoSpaceDN/>
              <w:adjustRightInd/>
              <w:snapToGrid w:val="0"/>
              <w:spacing w:after="0" w:line="60" w:lineRule="atLeast"/>
              <w:ind w:left="714" w:hanging="357"/>
              <w:jc w:val="both"/>
              <w:textAlignment w:val="auto"/>
              <w:rPr>
                <w:rFonts w:ascii="Calibri" w:hAnsi="Calibri" w:cs="Calibri"/>
              </w:rPr>
            </w:pPr>
            <w:r w:rsidRPr="00AF07C0">
              <w:t>Approach 2: Based on the number of REs determined in the first L symbols over which the TBoMS transmission is allocated, scaled by K≥1.</w:t>
            </w:r>
          </w:p>
          <w:p w14:paraId="660A770E" w14:textId="77777777" w:rsidR="00E07B67" w:rsidRPr="00AF07C0" w:rsidRDefault="00E07B67" w:rsidP="00E07B67">
            <w:pPr>
              <w:numPr>
                <w:ilvl w:val="1"/>
                <w:numId w:val="38"/>
              </w:numPr>
              <w:overflowPunct/>
              <w:autoSpaceDE/>
              <w:autoSpaceDN/>
              <w:adjustRightInd/>
              <w:snapToGrid w:val="0"/>
              <w:spacing w:after="0" w:line="60" w:lineRule="atLeast"/>
              <w:ind w:left="1071" w:hanging="357"/>
              <w:jc w:val="both"/>
              <w:textAlignment w:val="auto"/>
            </w:pPr>
            <w:r w:rsidRPr="00AF07C0">
              <w:t>FFS: the definition of K.</w:t>
            </w:r>
          </w:p>
          <w:p w14:paraId="3A8649CD" w14:textId="77777777" w:rsidR="00E07B67" w:rsidRPr="00AF07C0" w:rsidRDefault="00E07B67" w:rsidP="00E07B67"/>
          <w:p w14:paraId="4CC9FEA9" w14:textId="77777777" w:rsidR="00E07B67" w:rsidRPr="00AF07C0" w:rsidRDefault="00E07B67" w:rsidP="00E07B67">
            <w:pPr>
              <w:rPr>
                <w:rFonts w:ascii="Calibri" w:hAnsi="Calibri" w:cs="Calibri"/>
              </w:rPr>
            </w:pPr>
            <w:r w:rsidRPr="00AF07C0">
              <w:t>L is the number of symbols determined using the SLIV of PUSCH indicated via TDRA</w:t>
            </w:r>
          </w:p>
          <w:p w14:paraId="7C3B7447" w14:textId="77777777" w:rsidR="00E07B67" w:rsidRPr="00AF07C0" w:rsidRDefault="00E07B67" w:rsidP="00E07B67">
            <w:r w:rsidRPr="00AF07C0">
              <w:t>FFS: impacts and further details if repetitions of TBoMS is supported.</w:t>
            </w:r>
          </w:p>
          <w:p w14:paraId="7A1AC861" w14:textId="7A864DFF" w:rsidR="00E07B67" w:rsidRDefault="00E07B67" w:rsidP="00E07B67">
            <w:r w:rsidRPr="00AF07C0">
              <w:t>FFS: whether the symbols over which the TBoMS transmission is allocated are the same or can be different from the symbols over which the TBoMS transmission is performed, and details on how to handle such scenarios.</w:t>
            </w:r>
          </w:p>
        </w:tc>
      </w:tr>
    </w:tbl>
    <w:p w14:paraId="2A592749" w14:textId="77777777" w:rsidR="001C403C" w:rsidRPr="005F3676" w:rsidRDefault="001C403C" w:rsidP="004B1053">
      <w:pPr>
        <w:pStyle w:val="BodyText"/>
        <w:overflowPunct/>
        <w:autoSpaceDE/>
        <w:autoSpaceDN/>
        <w:adjustRightInd/>
        <w:snapToGrid w:val="0"/>
        <w:spacing w:beforeLines="50" w:before="120" w:after="120" w:line="268" w:lineRule="auto"/>
        <w:contextualSpacing/>
        <w:jc w:val="both"/>
        <w:textAlignment w:val="auto"/>
      </w:pPr>
    </w:p>
    <w:p w14:paraId="3944E613" w14:textId="7CA7A4FF" w:rsidR="001C403C" w:rsidRDefault="001C403C" w:rsidP="001C403C">
      <w:pPr>
        <w:pStyle w:val="Heading1"/>
        <w:numPr>
          <w:ilvl w:val="0"/>
          <w:numId w:val="0"/>
        </w:numPr>
        <w:ind w:left="432" w:hanging="432"/>
        <w:rPr>
          <w:lang w:val="en-US"/>
        </w:rPr>
      </w:pPr>
      <w:r>
        <w:rPr>
          <w:lang w:val="en-US"/>
        </w:rPr>
        <w:t>Appendix A: Agreements made in RAN1 106-e e-meeting</w:t>
      </w:r>
    </w:p>
    <w:p w14:paraId="4671CFDC" w14:textId="17400344" w:rsidR="008B16F5" w:rsidRDefault="008B16F5" w:rsidP="008B16F5"/>
    <w:tbl>
      <w:tblPr>
        <w:tblStyle w:val="TableGrid"/>
        <w:tblW w:w="0" w:type="auto"/>
        <w:tblLook w:val="04A0" w:firstRow="1" w:lastRow="0" w:firstColumn="1" w:lastColumn="0" w:noHBand="0" w:noVBand="1"/>
      </w:tblPr>
      <w:tblGrid>
        <w:gridCol w:w="9350"/>
      </w:tblGrid>
      <w:tr w:rsidR="008B16F5" w14:paraId="567BB3F9" w14:textId="77777777" w:rsidTr="008B16F5">
        <w:tc>
          <w:tcPr>
            <w:tcW w:w="9350" w:type="dxa"/>
          </w:tcPr>
          <w:p w14:paraId="62B4296D" w14:textId="77777777" w:rsidR="008B16F5" w:rsidRPr="00953612" w:rsidRDefault="008B16F5" w:rsidP="008B16F5">
            <w:pPr>
              <w:shd w:val="clear" w:color="auto" w:fill="FFFFFF"/>
              <w:jc w:val="both"/>
              <w:rPr>
                <w:highlight w:val="green"/>
              </w:rPr>
            </w:pPr>
            <w:r w:rsidRPr="00953612">
              <w:rPr>
                <w:highlight w:val="green"/>
              </w:rPr>
              <w:t>Agreement</w:t>
            </w:r>
          </w:p>
          <w:p w14:paraId="34A62FDD" w14:textId="77777777" w:rsidR="008B16F5" w:rsidRDefault="008B16F5" w:rsidP="008B16F5">
            <w:pPr>
              <w:shd w:val="clear" w:color="auto" w:fill="FFFFFF"/>
            </w:pPr>
            <w:r w:rsidRPr="00C3098D">
              <w:t>The number of slots allocated for TBoMS is counted based on the available slots for UL transmission. </w:t>
            </w:r>
          </w:p>
          <w:p w14:paraId="6686EF06" w14:textId="77777777" w:rsidR="008B16F5" w:rsidRDefault="008B16F5" w:rsidP="008B16F5">
            <w:pPr>
              <w:numPr>
                <w:ilvl w:val="0"/>
                <w:numId w:val="40"/>
              </w:numPr>
              <w:overflowPunct/>
              <w:autoSpaceDE/>
              <w:autoSpaceDN/>
              <w:adjustRightInd/>
              <w:spacing w:after="0"/>
              <w:textAlignment w:val="auto"/>
              <w:rPr>
                <w:lang w:eastAsia="x-none"/>
              </w:rPr>
            </w:pPr>
            <w:r w:rsidRPr="00C3098D">
              <w:rPr>
                <w:lang w:eastAsia="x-none"/>
              </w:rPr>
              <w:t>The determination of available slots for PUSCH repetition type A, as defined in AI 8.8.1.1, is reused.</w:t>
            </w:r>
          </w:p>
          <w:p w14:paraId="618CACCB" w14:textId="77777777" w:rsidR="008B16F5" w:rsidRPr="00C3098D" w:rsidRDefault="008B16F5" w:rsidP="008B16F5">
            <w:pPr>
              <w:numPr>
                <w:ilvl w:val="0"/>
                <w:numId w:val="40"/>
              </w:numPr>
              <w:overflowPunct/>
              <w:autoSpaceDE/>
              <w:autoSpaceDN/>
              <w:adjustRightInd/>
              <w:spacing w:after="0"/>
              <w:textAlignment w:val="auto"/>
              <w:rPr>
                <w:lang w:eastAsia="x-none"/>
              </w:rPr>
            </w:pPr>
            <w:r w:rsidRPr="00B433EE">
              <w:rPr>
                <w:rFonts w:eastAsia="DengXian"/>
                <w:lang w:eastAsia="zh-CN"/>
              </w:rPr>
              <w:t xml:space="preserve">Note: </w:t>
            </w:r>
            <w:r w:rsidRPr="00B433EE">
              <w:rPr>
                <w:rFonts w:eastAsia="DengXian" w:hint="eastAsia"/>
                <w:lang w:eastAsia="zh-CN"/>
              </w:rPr>
              <w:t>Av</w:t>
            </w:r>
            <w:r w:rsidRPr="00B433EE">
              <w:rPr>
                <w:rFonts w:eastAsia="DengXian"/>
                <w:lang w:eastAsia="zh-CN"/>
              </w:rPr>
              <w:t xml:space="preserve">ailable slots </w:t>
            </w:r>
            <w:r w:rsidRPr="00B433EE">
              <w:rPr>
                <w:rFonts w:eastAsia="DengXian" w:hint="eastAsia"/>
                <w:lang w:eastAsia="zh-CN"/>
              </w:rPr>
              <w:t>for</w:t>
            </w:r>
            <w:r w:rsidRPr="00B433EE">
              <w:rPr>
                <w:rFonts w:eastAsia="DengXian"/>
                <w:lang w:eastAsia="zh-CN"/>
              </w:rPr>
              <w:t xml:space="preserve"> FDD or SUL could be revisited according to discussion in </w:t>
            </w:r>
            <w:r w:rsidRPr="00C3098D">
              <w:rPr>
                <w:lang w:eastAsia="x-none"/>
              </w:rPr>
              <w:t>AI 8.8.1.1</w:t>
            </w:r>
          </w:p>
          <w:p w14:paraId="6CCDCBFF" w14:textId="77777777" w:rsidR="008B16F5" w:rsidRDefault="008B16F5" w:rsidP="008B16F5"/>
          <w:p w14:paraId="2E17F730" w14:textId="77777777" w:rsidR="008B16F5" w:rsidRPr="00C66702" w:rsidRDefault="008B16F5" w:rsidP="008B16F5">
            <w:pPr>
              <w:shd w:val="clear" w:color="auto" w:fill="FFFFFF"/>
              <w:rPr>
                <w:highlight w:val="green"/>
              </w:rPr>
            </w:pPr>
            <w:r w:rsidRPr="00C66702">
              <w:rPr>
                <w:highlight w:val="green"/>
              </w:rPr>
              <w:t>Agreement</w:t>
            </w:r>
          </w:p>
          <w:p w14:paraId="6872C886" w14:textId="77777777" w:rsidR="008B16F5" w:rsidRDefault="008B16F5" w:rsidP="008B16F5">
            <w:pPr>
              <w:shd w:val="clear" w:color="auto" w:fill="FFFFFF"/>
            </w:pPr>
            <w:r w:rsidRPr="00CD61D2">
              <w:t>Allocating resources for TBoMS in the special slot in TDD is possible according to the agreed time domain resource determination for TBoMS.</w:t>
            </w:r>
          </w:p>
          <w:p w14:paraId="16839F96" w14:textId="77777777" w:rsidR="008B16F5" w:rsidRDefault="008B16F5" w:rsidP="008B16F5">
            <w:pPr>
              <w:numPr>
                <w:ilvl w:val="0"/>
                <w:numId w:val="40"/>
              </w:numPr>
              <w:overflowPunct/>
              <w:autoSpaceDE/>
              <w:autoSpaceDN/>
              <w:adjustRightInd/>
              <w:spacing w:after="0"/>
              <w:textAlignment w:val="auto"/>
              <w:rPr>
                <w:lang w:eastAsia="x-none"/>
              </w:rPr>
            </w:pPr>
            <w:r w:rsidRPr="00CD61D2">
              <w:rPr>
                <w:lang w:eastAsia="x-none"/>
              </w:rPr>
              <w:t>No further optimization to allocate resources for TBoMS in the special slot is supported.</w:t>
            </w:r>
          </w:p>
          <w:p w14:paraId="528E0E57" w14:textId="77777777" w:rsidR="008B16F5" w:rsidRDefault="008B16F5" w:rsidP="008B16F5">
            <w:pPr>
              <w:ind w:left="360"/>
              <w:rPr>
                <w:lang w:eastAsia="x-none"/>
              </w:rPr>
            </w:pPr>
          </w:p>
          <w:p w14:paraId="2EC8F912" w14:textId="77777777" w:rsidR="008B16F5" w:rsidRDefault="008B16F5" w:rsidP="008B16F5">
            <w:pPr>
              <w:ind w:left="360"/>
              <w:rPr>
                <w:lang w:eastAsia="x-none"/>
              </w:rPr>
            </w:pPr>
          </w:p>
          <w:p w14:paraId="6F07FCBB" w14:textId="77777777" w:rsidR="008B16F5" w:rsidRPr="005500E1" w:rsidRDefault="008B16F5" w:rsidP="008B16F5">
            <w:pPr>
              <w:shd w:val="clear" w:color="auto" w:fill="FFFFFF"/>
              <w:jc w:val="both"/>
              <w:rPr>
                <w:highlight w:val="green"/>
              </w:rPr>
            </w:pPr>
            <w:r w:rsidRPr="005500E1">
              <w:rPr>
                <w:rFonts w:hint="eastAsia"/>
                <w:highlight w:val="green"/>
              </w:rPr>
              <w:t>Agreement</w:t>
            </w:r>
          </w:p>
          <w:p w14:paraId="20777FEE" w14:textId="77777777" w:rsidR="008B16F5" w:rsidRDefault="008B16F5" w:rsidP="008B16F5">
            <w:pPr>
              <w:shd w:val="clear" w:color="auto" w:fill="FFFFFF"/>
              <w:jc w:val="both"/>
            </w:pPr>
            <w:r w:rsidRPr="00E90839">
              <w:t>TBoMS is supported for both configured grant and dynamic grant.</w:t>
            </w:r>
          </w:p>
          <w:p w14:paraId="237399D1" w14:textId="77777777" w:rsidR="008B16F5" w:rsidRDefault="008B16F5" w:rsidP="008B16F5">
            <w:pPr>
              <w:shd w:val="clear" w:color="auto" w:fill="FFFFFF"/>
              <w:jc w:val="both"/>
            </w:pPr>
          </w:p>
          <w:p w14:paraId="24E09DED" w14:textId="77777777" w:rsidR="008B16F5" w:rsidRPr="00DF4AB5" w:rsidRDefault="008B16F5" w:rsidP="008B16F5">
            <w:pPr>
              <w:shd w:val="clear" w:color="auto" w:fill="FFFFFF"/>
              <w:jc w:val="both"/>
              <w:rPr>
                <w:rFonts w:eastAsia="DengXian"/>
                <w:highlight w:val="darkYellow"/>
                <w:lang w:eastAsia="zh-CN"/>
              </w:rPr>
            </w:pPr>
            <w:r w:rsidRPr="00DF4AB5">
              <w:rPr>
                <w:rFonts w:eastAsia="DengXian" w:hint="eastAsia"/>
                <w:highlight w:val="darkYellow"/>
                <w:lang w:eastAsia="zh-CN"/>
              </w:rPr>
              <w:t>W</w:t>
            </w:r>
            <w:r w:rsidRPr="00DF4AB5">
              <w:rPr>
                <w:rFonts w:eastAsia="DengXian"/>
                <w:highlight w:val="darkYellow"/>
                <w:lang w:eastAsia="zh-CN"/>
              </w:rPr>
              <w:t>orking Assumption</w:t>
            </w:r>
          </w:p>
          <w:p w14:paraId="58174D03" w14:textId="77777777" w:rsidR="008B16F5" w:rsidRPr="00DF4AB5" w:rsidRDefault="008B16F5" w:rsidP="008B16F5">
            <w:pPr>
              <w:shd w:val="clear" w:color="auto" w:fill="FFFFFF"/>
              <w:jc w:val="both"/>
              <w:rPr>
                <w:rFonts w:eastAsia="DengXian"/>
                <w:highlight w:val="yellow"/>
                <w:lang w:eastAsia="zh-CN"/>
              </w:rPr>
            </w:pPr>
            <w:r>
              <w:t>Single TBoMS structure of Option 3 is selected</w:t>
            </w:r>
          </w:p>
          <w:p w14:paraId="10F2439C" w14:textId="77777777" w:rsidR="008B16F5" w:rsidRDefault="008B16F5" w:rsidP="008B16F5">
            <w:pPr>
              <w:numPr>
                <w:ilvl w:val="0"/>
                <w:numId w:val="28"/>
              </w:numPr>
              <w:overflowPunct/>
              <w:autoSpaceDE/>
              <w:autoSpaceDN/>
              <w:adjustRightInd/>
              <w:spacing w:line="252" w:lineRule="auto"/>
              <w:jc w:val="both"/>
              <w:textAlignment w:val="auto"/>
            </w:pPr>
            <w:r>
              <w:rPr>
                <w:b/>
                <w:bCs/>
              </w:rPr>
              <w:t>Option 3</w:t>
            </w:r>
            <w:r>
              <w:t xml:space="preserve">: Multiple TOTs are determined for a TBoMS. The TB is transmitted on the multiple TOTs using a single RV. </w:t>
            </w:r>
          </w:p>
          <w:p w14:paraId="39187125" w14:textId="77777777" w:rsidR="008B16F5" w:rsidRDefault="008B16F5" w:rsidP="008B16F5">
            <w:pPr>
              <w:numPr>
                <w:ilvl w:val="1"/>
                <w:numId w:val="28"/>
              </w:numPr>
              <w:overflowPunct/>
              <w:autoSpaceDE/>
              <w:autoSpaceDN/>
              <w:adjustRightInd/>
              <w:spacing w:line="252" w:lineRule="auto"/>
              <w:jc w:val="both"/>
              <w:textAlignment w:val="auto"/>
            </w:pPr>
            <w:r>
              <w:t xml:space="preserve">FFS: how the single RV is rate matched across single or multiple TOTs, e.g., rate matched for each TOT, rate matched for all the TOTs, rate matched for each slot and so on. </w:t>
            </w:r>
          </w:p>
          <w:p w14:paraId="79B95821" w14:textId="77777777" w:rsidR="008B16F5" w:rsidRPr="00DF4AB5" w:rsidRDefault="008B16F5" w:rsidP="008B16F5">
            <w:pPr>
              <w:rPr>
                <w:rFonts w:eastAsia="DengXian"/>
                <w:lang w:eastAsia="zh-CN"/>
              </w:rPr>
            </w:pPr>
          </w:p>
          <w:p w14:paraId="5676D2F6" w14:textId="77777777" w:rsidR="008B16F5" w:rsidRPr="00AC75C8" w:rsidRDefault="008B16F5" w:rsidP="008B16F5">
            <w:pPr>
              <w:rPr>
                <w:rFonts w:ascii="Calibri" w:hAnsi="Calibri"/>
                <w:b/>
                <w:bCs/>
                <w:szCs w:val="22"/>
                <w:highlight w:val="green"/>
                <w:lang w:val="en-US" w:eastAsia="fr-FR"/>
              </w:rPr>
            </w:pPr>
            <w:r w:rsidRPr="00AC75C8">
              <w:rPr>
                <w:b/>
                <w:bCs/>
                <w:highlight w:val="green"/>
                <w:lang w:val="en-US"/>
              </w:rPr>
              <w:t xml:space="preserve">Agreement </w:t>
            </w:r>
          </w:p>
          <w:p w14:paraId="278813A4" w14:textId="77777777" w:rsidR="008B16F5" w:rsidRDefault="008B16F5" w:rsidP="008B16F5">
            <w:pPr>
              <w:rPr>
                <w:lang w:val="en-US"/>
              </w:rPr>
            </w:pPr>
            <w:r>
              <w:rPr>
                <w:color w:val="FF0000"/>
                <w:lang w:val="en-US"/>
              </w:rPr>
              <w:t xml:space="preserve">To calculate </w:t>
            </w:r>
            <m:oMath>
              <m:sSub>
                <m:sSubPr>
                  <m:ctrlPr>
                    <w:rPr>
                      <w:rFonts w:ascii="Cambria Math" w:eastAsia="DengXian" w:hAnsi="Cambria Math" w:cs="Calibri"/>
                      <w:i/>
                      <w:color w:val="FF0000"/>
                      <w:sz w:val="22"/>
                      <w:szCs w:val="22"/>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lang w:val="en-US"/>
              </w:rPr>
              <w:t xml:space="preserve">  for TBS determination</w:t>
            </w:r>
            <w:r>
              <w:rPr>
                <w:lang w:val="en-US"/>
              </w:rPr>
              <w:t xml:space="preserve">, at least the scaling factor value </w:t>
            </w:r>
            <m:oMath>
              <m:r>
                <w:rPr>
                  <w:rFonts w:ascii="Cambria Math" w:hAnsi="Cambria Math"/>
                  <w:lang w:val="en-US"/>
                </w:rPr>
                <m:t>K</m:t>
              </m:r>
            </m:oMath>
            <w:r>
              <w:rPr>
                <w:lang w:val="en-US"/>
              </w:rPr>
              <w:t>=</w:t>
            </w:r>
            <w:r>
              <w:rPr>
                <w:color w:val="FF0000"/>
                <w:lang w:val="en-US"/>
              </w:rPr>
              <w:t xml:space="preserve">N is supported, where N is the </w:t>
            </w:r>
            <w:r>
              <w:rPr>
                <w:lang w:val="en-US"/>
              </w:rPr>
              <w:t xml:space="preserve">number of allocated slots for </w:t>
            </w:r>
            <w:r>
              <w:rPr>
                <w:color w:val="FF0000"/>
                <w:lang w:val="en-US"/>
              </w:rPr>
              <w:t>a single</w:t>
            </w:r>
            <w:r>
              <w:rPr>
                <w:lang w:val="en-US"/>
              </w:rPr>
              <w:t xml:space="preserve"> TBoMS.</w:t>
            </w:r>
          </w:p>
          <w:p w14:paraId="2A66401D" w14:textId="77777777" w:rsidR="008B16F5" w:rsidRPr="0015291E" w:rsidRDefault="008B16F5" w:rsidP="008B16F5">
            <w:pPr>
              <w:rPr>
                <w:lang w:val="en-US"/>
              </w:rPr>
            </w:pPr>
            <w:r w:rsidRPr="0015291E">
              <w:rPr>
                <w:lang w:val="en-US"/>
              </w:rPr>
              <w:t>FFS: whether further values</w:t>
            </w:r>
            <w:r w:rsidRPr="0015291E">
              <w:rPr>
                <w:color w:val="FF0000"/>
                <w:lang w:val="en-US"/>
              </w:rPr>
              <w:t xml:space="preserve"> 1&lt;K&lt;N</w:t>
            </w:r>
            <w:r w:rsidRPr="0015291E">
              <w:rPr>
                <w:lang w:val="en-US"/>
              </w:rPr>
              <w:t xml:space="preserve"> </w:t>
            </w:r>
            <w:r w:rsidRPr="0015291E">
              <w:rPr>
                <w:color w:val="FF0000"/>
                <w:lang w:val="en-US"/>
              </w:rPr>
              <w:t>are supported</w:t>
            </w:r>
            <w:r w:rsidRPr="0015291E">
              <w:rPr>
                <w:lang w:val="en-US"/>
              </w:rPr>
              <w:t>.</w:t>
            </w:r>
          </w:p>
          <w:p w14:paraId="2FB66197" w14:textId="77777777" w:rsidR="008B16F5" w:rsidRDefault="008B16F5" w:rsidP="008B16F5">
            <w:pPr>
              <w:rPr>
                <w:lang w:val="en-US"/>
              </w:rPr>
            </w:pPr>
            <w:r w:rsidRPr="0015291E">
              <w:rPr>
                <w:lang w:val="en-US"/>
              </w:rPr>
              <w:t xml:space="preserve">FFS: details related to the indication of </w:t>
            </w:r>
            <m:oMath>
              <m:r>
                <w:rPr>
                  <w:rFonts w:ascii="Cambria Math" w:hAnsi="Cambria Math"/>
                  <w:lang w:val="en-US"/>
                </w:rPr>
                <m:t>K</m:t>
              </m:r>
            </m:oMath>
            <w:r w:rsidRPr="0015291E">
              <w:rPr>
                <w:lang w:val="en-US"/>
              </w:rPr>
              <w:t>.</w:t>
            </w:r>
          </w:p>
          <w:p w14:paraId="02CABB85" w14:textId="77777777" w:rsidR="008B16F5" w:rsidRPr="0019562F" w:rsidRDefault="008B16F5" w:rsidP="008B16F5">
            <w:pPr>
              <w:rPr>
                <w:lang w:val="en-US"/>
              </w:rPr>
            </w:pPr>
            <w:r>
              <w:rPr>
                <w:color w:val="FF0000"/>
                <w:lang w:val="en-US"/>
              </w:rPr>
              <w:t xml:space="preserve">Note: </w:t>
            </w:r>
            <w:r w:rsidRPr="0019562F">
              <w:rPr>
                <w:color w:val="FF0000"/>
                <w:lang w:val="en-US"/>
              </w:rPr>
              <w:t>No supporting the case K=1</w:t>
            </w:r>
            <w:r>
              <w:rPr>
                <w:color w:val="FF0000"/>
                <w:lang w:val="en-US"/>
              </w:rPr>
              <w:t xml:space="preserve"> for a single</w:t>
            </w:r>
            <w:r>
              <w:rPr>
                <w:lang w:val="en-US"/>
              </w:rPr>
              <w:t xml:space="preserve"> TBoMS</w:t>
            </w:r>
            <w:r w:rsidRPr="0019562F">
              <w:rPr>
                <w:lang w:val="en-US"/>
              </w:rPr>
              <w:t>.</w:t>
            </w:r>
          </w:p>
          <w:p w14:paraId="368892BE" w14:textId="77777777" w:rsidR="008B16F5" w:rsidRDefault="008B16F5" w:rsidP="008B16F5">
            <w:pPr>
              <w:rPr>
                <w:lang w:val="en-US"/>
              </w:rPr>
            </w:pPr>
          </w:p>
          <w:p w14:paraId="30724A0F" w14:textId="77777777" w:rsidR="008B16F5" w:rsidRPr="00420A37" w:rsidRDefault="008B16F5" w:rsidP="008B16F5">
            <w:pPr>
              <w:rPr>
                <w:b/>
                <w:bCs/>
                <w:highlight w:val="green"/>
                <w:lang w:val="en-US"/>
              </w:rPr>
            </w:pPr>
            <w:r w:rsidRPr="00420A37">
              <w:rPr>
                <w:b/>
                <w:bCs/>
                <w:highlight w:val="green"/>
                <w:lang w:val="en-US"/>
              </w:rPr>
              <w:t>Agreement</w:t>
            </w:r>
          </w:p>
          <w:p w14:paraId="2B8FF36C" w14:textId="77777777" w:rsidR="008B16F5" w:rsidRDefault="008B16F5" w:rsidP="008B16F5">
            <w:pPr>
              <w:rPr>
                <w:lang w:val="en-US"/>
              </w:rPr>
            </w:pPr>
            <w:r>
              <w:rPr>
                <w:lang w:val="en-US"/>
              </w:rPr>
              <w:t>Repetitions of a single TBoMS are supported, where:</w:t>
            </w:r>
          </w:p>
          <w:p w14:paraId="4C7A4522" w14:textId="77777777" w:rsidR="008B16F5" w:rsidRDefault="008B16F5" w:rsidP="008B16F5">
            <w:pPr>
              <w:pStyle w:val="ListParagraph"/>
              <w:numPr>
                <w:ilvl w:val="0"/>
                <w:numId w:val="41"/>
              </w:numPr>
              <w:overflowPunct/>
              <w:autoSpaceDE/>
              <w:autoSpaceDN/>
              <w:adjustRightInd/>
              <w:spacing w:line="256" w:lineRule="auto"/>
              <w:jc w:val="both"/>
              <w:textAlignment w:val="auto"/>
              <w:rPr>
                <w:sz w:val="22"/>
                <w:lang w:val="en-US"/>
              </w:rPr>
            </w:pPr>
            <w:r>
              <w:rPr>
                <w:sz w:val="22"/>
                <w:lang w:val="en-US"/>
              </w:rPr>
              <w:t xml:space="preserve">The number of </w:t>
            </w:r>
            <w:r>
              <w:rPr>
                <w:strike/>
                <w:color w:val="FF0000"/>
                <w:sz w:val="22"/>
                <w:lang w:val="en-US"/>
              </w:rPr>
              <w:t xml:space="preserve">configured </w:t>
            </w:r>
            <w:r>
              <w:rPr>
                <w:sz w:val="22"/>
                <w:lang w:val="en-US"/>
              </w:rPr>
              <w:t>repetitions is denoted by M, i.e., the total number of allocated slots for TBoMS repetition is M*N.</w:t>
            </w:r>
          </w:p>
          <w:p w14:paraId="09BB0D76" w14:textId="77777777" w:rsidR="008B16F5" w:rsidRDefault="008B16F5" w:rsidP="008B16F5">
            <w:pPr>
              <w:pStyle w:val="ListParagraph"/>
              <w:numPr>
                <w:ilvl w:val="1"/>
                <w:numId w:val="41"/>
              </w:numPr>
              <w:overflowPunct/>
              <w:autoSpaceDE/>
              <w:autoSpaceDN/>
              <w:adjustRightInd/>
              <w:spacing w:line="256" w:lineRule="auto"/>
              <w:jc w:val="both"/>
              <w:textAlignment w:val="auto"/>
              <w:rPr>
                <w:color w:val="FF0000"/>
                <w:sz w:val="22"/>
                <w:lang w:val="en-US"/>
              </w:rPr>
            </w:pPr>
            <w:r>
              <w:rPr>
                <w:color w:val="FF0000"/>
                <w:sz w:val="22"/>
                <w:lang w:val="en-US"/>
              </w:rPr>
              <w:t xml:space="preserve">Note: M*N </w:t>
            </w:r>
            <w:r>
              <w:rPr>
                <w:color w:val="FF0000"/>
                <w:sz w:val="22"/>
              </w:rPr>
              <w:t>is no more than the max number of repetitions agreed for repetition Type A enhancement in agenda 8.8.1.1</w:t>
            </w:r>
          </w:p>
          <w:p w14:paraId="68000EC1" w14:textId="77777777" w:rsidR="008B16F5" w:rsidRDefault="008B16F5" w:rsidP="008B16F5">
            <w:pPr>
              <w:pStyle w:val="ListParagraph"/>
              <w:numPr>
                <w:ilvl w:val="0"/>
                <w:numId w:val="41"/>
              </w:numPr>
              <w:overflowPunct/>
              <w:autoSpaceDE/>
              <w:autoSpaceDN/>
              <w:adjustRightInd/>
              <w:spacing w:line="256" w:lineRule="auto"/>
              <w:jc w:val="both"/>
              <w:textAlignment w:val="auto"/>
              <w:rPr>
                <w:sz w:val="22"/>
                <w:lang w:val="en-US"/>
              </w:rPr>
            </w:pPr>
            <w:r>
              <w:rPr>
                <w:sz w:val="22"/>
                <w:lang w:val="en-US"/>
              </w:rPr>
              <w:t>Available slot determination is according to existing agreements.</w:t>
            </w:r>
          </w:p>
          <w:p w14:paraId="6542E65E" w14:textId="77777777" w:rsidR="008B16F5" w:rsidRDefault="008B16F5" w:rsidP="008B16F5">
            <w:pPr>
              <w:pStyle w:val="ListParagraph"/>
              <w:numPr>
                <w:ilvl w:val="0"/>
                <w:numId w:val="41"/>
              </w:numPr>
              <w:overflowPunct/>
              <w:autoSpaceDE/>
              <w:autoSpaceDN/>
              <w:adjustRightInd/>
              <w:spacing w:line="256" w:lineRule="auto"/>
              <w:jc w:val="both"/>
              <w:textAlignment w:val="auto"/>
              <w:rPr>
                <w:color w:val="FF0000"/>
                <w:sz w:val="22"/>
                <w:lang w:val="en-US" w:eastAsia="ko-KR"/>
              </w:rPr>
            </w:pPr>
            <w:r>
              <w:rPr>
                <w:color w:val="FF0000"/>
                <w:sz w:val="22"/>
                <w:lang w:val="en-US" w:eastAsia="zh-CN"/>
              </w:rPr>
              <w:t>The number and location of allocated symbols within an allocated slot for TBoMS transmission are the same among all repeated single TBoMS.</w:t>
            </w:r>
          </w:p>
          <w:p w14:paraId="528C7F56" w14:textId="77777777" w:rsidR="008B16F5" w:rsidRPr="0060312A" w:rsidRDefault="008B16F5" w:rsidP="008B16F5">
            <w:pPr>
              <w:pStyle w:val="ListParagraph"/>
              <w:numPr>
                <w:ilvl w:val="0"/>
                <w:numId w:val="41"/>
              </w:numPr>
              <w:overflowPunct/>
              <w:autoSpaceDE/>
              <w:autoSpaceDN/>
              <w:adjustRightInd/>
              <w:spacing w:line="256" w:lineRule="auto"/>
              <w:jc w:val="both"/>
              <w:textAlignment w:val="auto"/>
              <w:rPr>
                <w:sz w:val="22"/>
                <w:lang w:val="en-US"/>
              </w:rPr>
            </w:pPr>
            <w:r w:rsidRPr="0060312A">
              <w:rPr>
                <w:sz w:val="22"/>
                <w:lang w:val="en-US"/>
              </w:rPr>
              <w:t xml:space="preserve">FFS </w:t>
            </w:r>
            <w:r w:rsidRPr="0060312A">
              <w:rPr>
                <w:color w:val="FF0000"/>
                <w:sz w:val="22"/>
                <w:lang w:val="en-US"/>
              </w:rPr>
              <w:t>other</w:t>
            </w:r>
            <w:r w:rsidRPr="0060312A">
              <w:rPr>
                <w:sz w:val="22"/>
                <w:lang w:val="en-US"/>
              </w:rPr>
              <w:t xml:space="preserve"> aspects of TBoMS repetitions, </w:t>
            </w:r>
            <w:r w:rsidRPr="0060312A">
              <w:rPr>
                <w:color w:val="FF0000"/>
                <w:sz w:val="22"/>
                <w:lang w:val="en-US"/>
              </w:rPr>
              <w:t>e.g</w:t>
            </w:r>
            <w:r w:rsidRPr="0060312A">
              <w:rPr>
                <w:sz w:val="22"/>
                <w:lang w:val="en-US"/>
              </w:rPr>
              <w:t>.:</w:t>
            </w:r>
          </w:p>
          <w:p w14:paraId="72FDE240" w14:textId="77777777" w:rsidR="008B16F5" w:rsidRPr="0060312A" w:rsidRDefault="008B16F5" w:rsidP="008B16F5">
            <w:pPr>
              <w:pStyle w:val="ListParagraph"/>
              <w:numPr>
                <w:ilvl w:val="1"/>
                <w:numId w:val="41"/>
              </w:numPr>
              <w:overflowPunct/>
              <w:autoSpaceDE/>
              <w:autoSpaceDN/>
              <w:adjustRightInd/>
              <w:spacing w:line="256" w:lineRule="auto"/>
              <w:jc w:val="both"/>
              <w:textAlignment w:val="auto"/>
              <w:rPr>
                <w:sz w:val="22"/>
                <w:lang w:val="en-US"/>
              </w:rPr>
            </w:pPr>
            <w:r w:rsidRPr="0060312A">
              <w:rPr>
                <w:sz w:val="22"/>
                <w:lang w:val="en-US"/>
              </w:rPr>
              <w:t>Details of time domain resource indication.</w:t>
            </w:r>
          </w:p>
          <w:p w14:paraId="10DDB38E" w14:textId="77777777" w:rsidR="008B16F5" w:rsidRPr="0060312A" w:rsidRDefault="008B16F5" w:rsidP="008B16F5">
            <w:pPr>
              <w:pStyle w:val="ListParagraph"/>
              <w:numPr>
                <w:ilvl w:val="1"/>
                <w:numId w:val="41"/>
              </w:numPr>
              <w:overflowPunct/>
              <w:autoSpaceDE/>
              <w:autoSpaceDN/>
              <w:adjustRightInd/>
              <w:spacing w:line="256" w:lineRule="auto"/>
              <w:jc w:val="both"/>
              <w:textAlignment w:val="auto"/>
              <w:rPr>
                <w:sz w:val="22"/>
                <w:lang w:val="en-US"/>
              </w:rPr>
            </w:pPr>
            <w:r w:rsidRPr="0060312A">
              <w:rPr>
                <w:sz w:val="22"/>
                <w:lang w:val="en-US"/>
              </w:rPr>
              <w:t>Supported values for the number of TBoMS repetitions.</w:t>
            </w:r>
          </w:p>
          <w:p w14:paraId="243DFD45" w14:textId="77777777" w:rsidR="008B16F5" w:rsidRPr="0060312A" w:rsidRDefault="008B16F5" w:rsidP="008B16F5">
            <w:pPr>
              <w:pStyle w:val="ListParagraph"/>
              <w:numPr>
                <w:ilvl w:val="1"/>
                <w:numId w:val="41"/>
              </w:numPr>
              <w:overflowPunct/>
              <w:autoSpaceDE/>
              <w:autoSpaceDN/>
              <w:adjustRightInd/>
              <w:spacing w:line="256" w:lineRule="auto"/>
              <w:jc w:val="both"/>
              <w:textAlignment w:val="auto"/>
              <w:rPr>
                <w:sz w:val="22"/>
                <w:lang w:val="en-US"/>
              </w:rPr>
            </w:pPr>
            <w:r w:rsidRPr="0060312A">
              <w:rPr>
                <w:sz w:val="22"/>
                <w:lang w:val="en-US"/>
              </w:rPr>
              <w:t>How to indicate the number of TBoMS repetitions.</w:t>
            </w:r>
          </w:p>
          <w:p w14:paraId="7929F9C2" w14:textId="77777777" w:rsidR="008B16F5" w:rsidRPr="00FA0D04" w:rsidRDefault="008B16F5" w:rsidP="008B16F5">
            <w:pPr>
              <w:pStyle w:val="ListParagraph"/>
              <w:numPr>
                <w:ilvl w:val="1"/>
                <w:numId w:val="41"/>
              </w:numPr>
              <w:overflowPunct/>
              <w:autoSpaceDE/>
              <w:autoSpaceDN/>
              <w:adjustRightInd/>
              <w:spacing w:line="256" w:lineRule="auto"/>
              <w:jc w:val="both"/>
              <w:textAlignment w:val="auto"/>
              <w:rPr>
                <w:sz w:val="22"/>
                <w:lang w:val="en-US"/>
              </w:rPr>
            </w:pPr>
            <w:r w:rsidRPr="00FA0D04">
              <w:rPr>
                <w:sz w:val="22"/>
                <w:lang w:val="en-US"/>
              </w:rPr>
              <w:t xml:space="preserve">Interactions with frequency hopping and precoder cycling across the M groups of </w:t>
            </w:r>
            <w:proofErr w:type="gramStart"/>
            <w:r w:rsidRPr="00FA0D04">
              <w:rPr>
                <w:sz w:val="22"/>
                <w:lang w:val="en-US"/>
              </w:rPr>
              <w:t>N</w:t>
            </w:r>
            <w:proofErr w:type="gramEnd"/>
            <w:r w:rsidRPr="00FA0D04">
              <w:rPr>
                <w:sz w:val="22"/>
                <w:lang w:val="en-US"/>
              </w:rPr>
              <w:t xml:space="preserve"> allocated slots for each single TBoMS repetition.</w:t>
            </w:r>
          </w:p>
          <w:p w14:paraId="5A5F826F" w14:textId="77777777" w:rsidR="008B16F5" w:rsidRPr="00FA0D04" w:rsidRDefault="008B16F5" w:rsidP="008B16F5">
            <w:pPr>
              <w:pStyle w:val="ListParagraph"/>
              <w:numPr>
                <w:ilvl w:val="1"/>
                <w:numId w:val="41"/>
              </w:numPr>
              <w:overflowPunct/>
              <w:autoSpaceDE/>
              <w:autoSpaceDN/>
              <w:adjustRightInd/>
              <w:spacing w:line="256" w:lineRule="auto"/>
              <w:jc w:val="both"/>
              <w:textAlignment w:val="auto"/>
              <w:rPr>
                <w:sz w:val="22"/>
                <w:lang w:val="en-US"/>
              </w:rPr>
            </w:pPr>
            <w:r w:rsidRPr="00FA0D04">
              <w:rPr>
                <w:sz w:val="22"/>
                <w:lang w:val="en-US"/>
              </w:rPr>
              <w:t xml:space="preserve">Whether RV indices should be cycled across the M groups of </w:t>
            </w:r>
            <w:proofErr w:type="gramStart"/>
            <w:r w:rsidRPr="00FA0D04">
              <w:rPr>
                <w:sz w:val="22"/>
                <w:lang w:val="en-US"/>
              </w:rPr>
              <w:t>N</w:t>
            </w:r>
            <w:proofErr w:type="gramEnd"/>
            <w:r w:rsidRPr="00FA0D04">
              <w:rPr>
                <w:sz w:val="22"/>
                <w:lang w:val="en-US"/>
              </w:rPr>
              <w:t xml:space="preserve"> allocated slots for each single TBoMS repetition.</w:t>
            </w:r>
          </w:p>
          <w:p w14:paraId="1D1BB903" w14:textId="77777777" w:rsidR="008B16F5" w:rsidRPr="00FA0D04" w:rsidRDefault="008B16F5" w:rsidP="008B16F5">
            <w:pPr>
              <w:pStyle w:val="ListParagraph"/>
              <w:numPr>
                <w:ilvl w:val="1"/>
                <w:numId w:val="41"/>
              </w:numPr>
              <w:overflowPunct/>
              <w:autoSpaceDE/>
              <w:autoSpaceDN/>
              <w:adjustRightInd/>
              <w:spacing w:line="256" w:lineRule="auto"/>
              <w:jc w:val="both"/>
              <w:textAlignment w:val="auto"/>
              <w:rPr>
                <w:sz w:val="22"/>
                <w:lang w:val="en-US"/>
              </w:rPr>
            </w:pPr>
            <w:r w:rsidRPr="00FA0D04">
              <w:rPr>
                <w:sz w:val="22"/>
                <w:lang w:val="en-US"/>
              </w:rPr>
              <w:t>Details of TBoMS retransmissions.</w:t>
            </w:r>
          </w:p>
          <w:p w14:paraId="4B957604" w14:textId="77777777" w:rsidR="008B16F5" w:rsidRPr="00CC0874" w:rsidRDefault="008B16F5" w:rsidP="008B16F5">
            <w:pPr>
              <w:pStyle w:val="ListParagraph"/>
              <w:numPr>
                <w:ilvl w:val="1"/>
                <w:numId w:val="41"/>
              </w:numPr>
              <w:overflowPunct/>
              <w:autoSpaceDE/>
              <w:autoSpaceDN/>
              <w:adjustRightInd/>
              <w:spacing w:line="256" w:lineRule="auto"/>
              <w:jc w:val="both"/>
              <w:textAlignment w:val="auto"/>
              <w:rPr>
                <w:sz w:val="22"/>
                <w:lang w:val="en-US"/>
              </w:rPr>
            </w:pPr>
            <w:r w:rsidRPr="00E959EB">
              <w:rPr>
                <w:rFonts w:eastAsia="DengXian"/>
                <w:sz w:val="22"/>
                <w:lang w:val="en-US" w:eastAsia="zh-CN"/>
              </w:rPr>
              <w:t>Potential MAC layer impact, but should be decided by RAN2</w:t>
            </w:r>
          </w:p>
          <w:p w14:paraId="3FDD4DB2" w14:textId="77777777" w:rsidR="008B16F5" w:rsidRDefault="008B16F5" w:rsidP="008B16F5">
            <w:pPr>
              <w:rPr>
                <w:sz w:val="22"/>
                <w:lang w:val="en-US"/>
              </w:rPr>
            </w:pPr>
            <w:r>
              <w:rPr>
                <w:lang w:val="en-US"/>
              </w:rPr>
              <w:t xml:space="preserve">Note: No additional dropping rule optimization will be introduced other than dropping rules for single TBoMS transmission. </w:t>
            </w:r>
          </w:p>
          <w:p w14:paraId="27FA8221" w14:textId="77777777" w:rsidR="008B16F5" w:rsidRPr="00363596" w:rsidRDefault="008B16F5" w:rsidP="008B16F5">
            <w:pPr>
              <w:rPr>
                <w:lang w:val="en-US"/>
              </w:rPr>
            </w:pPr>
            <w:r w:rsidRPr="00363596">
              <w:rPr>
                <w:lang w:val="en-US"/>
              </w:rPr>
              <w:t>Conclusion</w:t>
            </w:r>
          </w:p>
          <w:p w14:paraId="505EE502" w14:textId="77777777" w:rsidR="008B16F5" w:rsidRDefault="008B16F5" w:rsidP="008B16F5">
            <w:pPr>
              <w:rPr>
                <w:lang w:val="en-US"/>
              </w:rPr>
            </w:pPr>
            <w:r w:rsidRPr="00F73150">
              <w:rPr>
                <w:lang w:val="en-US"/>
              </w:rPr>
              <w:t xml:space="preserve">Bit interleaving performed per </w:t>
            </w:r>
            <w:proofErr w:type="spellStart"/>
            <w:r w:rsidRPr="00F73150">
              <w:rPr>
                <w:lang w:val="en-US"/>
              </w:rPr>
              <w:t>ToT</w:t>
            </w:r>
            <w:proofErr w:type="spellEnd"/>
            <w:r w:rsidRPr="00F73150">
              <w:rPr>
                <w:lang w:val="en-US"/>
              </w:rPr>
              <w:t xml:space="preserve"> is precluded</w:t>
            </w:r>
            <w:r>
              <w:rPr>
                <w:lang w:val="en-US"/>
              </w:rPr>
              <w:t xml:space="preserve">, and </w:t>
            </w:r>
            <w:proofErr w:type="spellStart"/>
            <w:r>
              <w:rPr>
                <w:lang w:val="en-US"/>
              </w:rPr>
              <w:t>ToT</w:t>
            </w:r>
            <w:proofErr w:type="spellEnd"/>
            <w:r>
              <w:rPr>
                <w:lang w:val="en-US"/>
              </w:rPr>
              <w:t xml:space="preserve"> will not be used in further discussion.</w:t>
            </w:r>
          </w:p>
          <w:p w14:paraId="63846055" w14:textId="77777777" w:rsidR="008B16F5" w:rsidRPr="005D12CD" w:rsidRDefault="008B16F5" w:rsidP="008B16F5">
            <w:pPr>
              <w:rPr>
                <w:highlight w:val="green"/>
                <w:lang w:val="en-US"/>
              </w:rPr>
            </w:pPr>
            <w:r w:rsidRPr="0054392F">
              <w:rPr>
                <w:rFonts w:hint="eastAsia"/>
                <w:highlight w:val="green"/>
                <w:lang w:val="en-US"/>
              </w:rPr>
              <w:lastRenderedPageBreak/>
              <w:t>Agreement</w:t>
            </w:r>
          </w:p>
          <w:p w14:paraId="68707837" w14:textId="77777777" w:rsidR="008B16F5" w:rsidRPr="005D12CD" w:rsidRDefault="008B16F5" w:rsidP="008B16F5">
            <w:pPr>
              <w:rPr>
                <w:lang w:val="en-US"/>
              </w:rPr>
            </w:pPr>
            <w:r w:rsidRPr="005D12CD">
              <w:rPr>
                <w:lang w:val="en-US"/>
              </w:rPr>
              <w:t xml:space="preserve">The UE determines </w:t>
            </w:r>
            <w:proofErr w:type="gramStart"/>
            <w:r w:rsidRPr="005D12CD">
              <w:rPr>
                <w:lang w:val="en-US"/>
              </w:rPr>
              <w:t>whether or not</w:t>
            </w:r>
            <w:proofErr w:type="gramEnd"/>
            <w:r w:rsidRPr="005D12CD">
              <w:rPr>
                <w:lang w:val="en-US"/>
              </w:rPr>
              <w:t xml:space="preserve"> to drop a slot determined as available for TBoMS transmission according to Rel-15/16 PUSCH dropping rules, where the dropped slot is still counted in the N allocated slots for the single TBoMS transmission.</w:t>
            </w:r>
          </w:p>
          <w:p w14:paraId="3DC0BFEE" w14:textId="77777777" w:rsidR="008B16F5" w:rsidRPr="005D12CD" w:rsidRDefault="008B16F5" w:rsidP="008B16F5">
            <w:pPr>
              <w:rPr>
                <w:lang w:val="en-US"/>
              </w:rPr>
            </w:pPr>
            <w:r w:rsidRPr="005D12CD">
              <w:rPr>
                <w:lang w:val="en-US"/>
              </w:rPr>
              <w:t>FFS: Rel-17 PUSCH dropping rules are also applied if introduced in other WI(s)</w:t>
            </w:r>
          </w:p>
          <w:p w14:paraId="78BD913F" w14:textId="653AB312" w:rsidR="008B16F5" w:rsidRPr="00FA36E8" w:rsidRDefault="008B16F5" w:rsidP="00FA0D04">
            <w:pPr>
              <w:shd w:val="clear" w:color="auto" w:fill="FFFFFF"/>
              <w:rPr>
                <w:lang w:val="en-US"/>
              </w:rPr>
            </w:pPr>
            <w:r w:rsidRPr="005D12CD">
              <w:rPr>
                <w:rFonts w:ascii="Calibri" w:eastAsia="SimSun" w:hAnsi="Calibri" w:cs="Calibri"/>
                <w:color w:val="000000"/>
                <w:sz w:val="22"/>
                <w:szCs w:val="22"/>
                <w:lang w:val="en-US" w:eastAsia="zh-CN"/>
              </w:rPr>
              <w:t> </w:t>
            </w:r>
            <w:r w:rsidRPr="00FA36E8">
              <w:rPr>
                <w:lang w:val="en-US"/>
              </w:rPr>
              <w:t>Conclusion</w:t>
            </w:r>
          </w:p>
          <w:p w14:paraId="1B7A164D" w14:textId="77777777" w:rsidR="008B16F5" w:rsidRPr="005D12CD" w:rsidRDefault="008B16F5" w:rsidP="008B16F5">
            <w:pPr>
              <w:rPr>
                <w:lang w:val="en-US"/>
              </w:rPr>
            </w:pPr>
            <w:r w:rsidRPr="005D12CD">
              <w:rPr>
                <w:lang w:val="en-US"/>
              </w:rPr>
              <w:t>The N allocated slots for the single TBoMS are defined as the number of slots after available slot determination for a single TBoMS transmission, before dropping rules are applied.</w:t>
            </w:r>
          </w:p>
          <w:p w14:paraId="35B6378E" w14:textId="77777777" w:rsidR="008B16F5" w:rsidRPr="005D12CD" w:rsidRDefault="008B16F5" w:rsidP="008B16F5">
            <w:pPr>
              <w:rPr>
                <w:lang w:val="en-US"/>
              </w:rPr>
            </w:pPr>
            <w:r w:rsidRPr="005D12CD">
              <w:rPr>
                <w:lang w:val="en-US"/>
              </w:rPr>
              <w:t>Note: the number of final transmitted slots for the single TBoMS may be lower than N, depending on dropping rules for TBoMS transmission.</w:t>
            </w:r>
          </w:p>
          <w:p w14:paraId="5DEFE046" w14:textId="77777777" w:rsidR="008B16F5" w:rsidRDefault="008B16F5" w:rsidP="008B16F5"/>
        </w:tc>
      </w:tr>
    </w:tbl>
    <w:p w14:paraId="0DCA011A" w14:textId="77777777" w:rsidR="008B16F5" w:rsidRPr="008B16F5" w:rsidRDefault="008B16F5" w:rsidP="008B16F5"/>
    <w:p w14:paraId="7D831F6A" w14:textId="77777777" w:rsidR="001C403C" w:rsidRPr="001C403C" w:rsidRDefault="001C403C" w:rsidP="001C403C"/>
    <w:p w14:paraId="7C668FF3" w14:textId="77777777" w:rsidR="001C403C" w:rsidRPr="001C403C" w:rsidRDefault="001C403C" w:rsidP="001C403C"/>
    <w:p w14:paraId="4CABDAC3" w14:textId="77777777" w:rsidR="001C403C" w:rsidRPr="00565EE1" w:rsidRDefault="001C403C" w:rsidP="001C403C">
      <w:pPr>
        <w:pStyle w:val="BodyText"/>
        <w:overflowPunct/>
        <w:autoSpaceDE/>
        <w:autoSpaceDN/>
        <w:adjustRightInd/>
        <w:snapToGrid w:val="0"/>
        <w:spacing w:beforeLines="50" w:before="120" w:after="120" w:line="268" w:lineRule="auto"/>
        <w:contextualSpacing/>
        <w:jc w:val="both"/>
        <w:textAlignment w:val="auto"/>
        <w:rPr>
          <w:color w:val="000000"/>
        </w:rPr>
      </w:pPr>
    </w:p>
    <w:sectPr w:rsidR="001C403C" w:rsidRPr="00565EE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1F6C" w14:textId="77777777" w:rsidR="00C32891" w:rsidRDefault="00C32891" w:rsidP="00746535">
      <w:pPr>
        <w:spacing w:after="0"/>
      </w:pPr>
      <w:r>
        <w:separator/>
      </w:r>
    </w:p>
  </w:endnote>
  <w:endnote w:type="continuationSeparator" w:id="0">
    <w:p w14:paraId="7898D89F" w14:textId="77777777" w:rsidR="00C32891" w:rsidRDefault="00C32891" w:rsidP="00746535">
      <w:pPr>
        <w:spacing w:after="0"/>
      </w:pPr>
      <w:r>
        <w:continuationSeparator/>
      </w:r>
    </w:p>
  </w:endnote>
  <w:endnote w:type="continuationNotice" w:id="1">
    <w:p w14:paraId="1BD751A7" w14:textId="77777777" w:rsidR="00C32891" w:rsidRDefault="00C32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7B37C" w14:textId="77777777" w:rsidR="00C32891" w:rsidRDefault="00C32891" w:rsidP="00746535">
      <w:pPr>
        <w:spacing w:after="0"/>
      </w:pPr>
      <w:r>
        <w:separator/>
      </w:r>
    </w:p>
  </w:footnote>
  <w:footnote w:type="continuationSeparator" w:id="0">
    <w:p w14:paraId="712C3C71" w14:textId="77777777" w:rsidR="00C32891" w:rsidRDefault="00C32891" w:rsidP="00746535">
      <w:pPr>
        <w:spacing w:after="0"/>
      </w:pPr>
      <w:r>
        <w:continuationSeparator/>
      </w:r>
    </w:p>
  </w:footnote>
  <w:footnote w:type="continuationNotice" w:id="1">
    <w:p w14:paraId="2B752105" w14:textId="77777777" w:rsidR="00C32891" w:rsidRDefault="00C328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7B69C7"/>
    <w:multiLevelType w:val="hybridMultilevel"/>
    <w:tmpl w:val="8A904A98"/>
    <w:lvl w:ilvl="0" w:tplc="341A2C34">
      <w:start w:val="1"/>
      <w:numFmt w:val="decimal"/>
      <w:lvlText w:val="%1."/>
      <w:lvlJc w:val="left"/>
      <w:pPr>
        <w:tabs>
          <w:tab w:val="num" w:pos="720"/>
        </w:tabs>
        <w:ind w:left="720" w:hanging="360"/>
      </w:pPr>
    </w:lvl>
    <w:lvl w:ilvl="1" w:tplc="21FACFA2">
      <w:start w:val="1"/>
      <w:numFmt w:val="decimal"/>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877200"/>
    <w:multiLevelType w:val="hybridMultilevel"/>
    <w:tmpl w:val="6E7E524C"/>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74A6"/>
    <w:multiLevelType w:val="hybridMultilevel"/>
    <w:tmpl w:val="934AFDB0"/>
    <w:lvl w:ilvl="0" w:tplc="2E7EE5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A03211"/>
    <w:multiLevelType w:val="hybridMultilevel"/>
    <w:tmpl w:val="0D2E0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A17B02"/>
    <w:multiLevelType w:val="hybridMultilevel"/>
    <w:tmpl w:val="92B844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50098"/>
    <w:multiLevelType w:val="hybridMultilevel"/>
    <w:tmpl w:val="F23225D6"/>
    <w:lvl w:ilvl="0" w:tplc="0360B2A6">
      <w:start w:val="1"/>
      <w:numFmt w:val="bullet"/>
      <w:lvlText w:val="•"/>
      <w:lvlJc w:val="left"/>
      <w:pPr>
        <w:tabs>
          <w:tab w:val="num" w:pos="720"/>
        </w:tabs>
        <w:ind w:left="720" w:hanging="360"/>
      </w:pPr>
      <w:rPr>
        <w:rFonts w:ascii="Arial" w:hAnsi="Arial" w:hint="default"/>
      </w:rPr>
    </w:lvl>
    <w:lvl w:ilvl="1" w:tplc="1186A78C">
      <w:numFmt w:val="bullet"/>
      <w:lvlText w:val="•"/>
      <w:lvlJc w:val="left"/>
      <w:pPr>
        <w:tabs>
          <w:tab w:val="num" w:pos="1440"/>
        </w:tabs>
        <w:ind w:left="1440" w:hanging="360"/>
      </w:pPr>
      <w:rPr>
        <w:rFonts w:ascii="Arial" w:hAnsi="Arial" w:hint="default"/>
      </w:rPr>
    </w:lvl>
    <w:lvl w:ilvl="2" w:tplc="1E9CC024" w:tentative="1">
      <w:start w:val="1"/>
      <w:numFmt w:val="bullet"/>
      <w:lvlText w:val="•"/>
      <w:lvlJc w:val="left"/>
      <w:pPr>
        <w:tabs>
          <w:tab w:val="num" w:pos="2160"/>
        </w:tabs>
        <w:ind w:left="2160" w:hanging="360"/>
      </w:pPr>
      <w:rPr>
        <w:rFonts w:ascii="Arial" w:hAnsi="Arial" w:hint="default"/>
      </w:rPr>
    </w:lvl>
    <w:lvl w:ilvl="3" w:tplc="95323900" w:tentative="1">
      <w:start w:val="1"/>
      <w:numFmt w:val="bullet"/>
      <w:lvlText w:val="•"/>
      <w:lvlJc w:val="left"/>
      <w:pPr>
        <w:tabs>
          <w:tab w:val="num" w:pos="2880"/>
        </w:tabs>
        <w:ind w:left="2880" w:hanging="360"/>
      </w:pPr>
      <w:rPr>
        <w:rFonts w:ascii="Arial" w:hAnsi="Arial" w:hint="default"/>
      </w:rPr>
    </w:lvl>
    <w:lvl w:ilvl="4" w:tplc="380C99CC" w:tentative="1">
      <w:start w:val="1"/>
      <w:numFmt w:val="bullet"/>
      <w:lvlText w:val="•"/>
      <w:lvlJc w:val="left"/>
      <w:pPr>
        <w:tabs>
          <w:tab w:val="num" w:pos="3600"/>
        </w:tabs>
        <w:ind w:left="3600" w:hanging="360"/>
      </w:pPr>
      <w:rPr>
        <w:rFonts w:ascii="Arial" w:hAnsi="Arial" w:hint="default"/>
      </w:rPr>
    </w:lvl>
    <w:lvl w:ilvl="5" w:tplc="CF2426DA" w:tentative="1">
      <w:start w:val="1"/>
      <w:numFmt w:val="bullet"/>
      <w:lvlText w:val="•"/>
      <w:lvlJc w:val="left"/>
      <w:pPr>
        <w:tabs>
          <w:tab w:val="num" w:pos="4320"/>
        </w:tabs>
        <w:ind w:left="4320" w:hanging="360"/>
      </w:pPr>
      <w:rPr>
        <w:rFonts w:ascii="Arial" w:hAnsi="Arial" w:hint="default"/>
      </w:rPr>
    </w:lvl>
    <w:lvl w:ilvl="6" w:tplc="ECECD0B0" w:tentative="1">
      <w:start w:val="1"/>
      <w:numFmt w:val="bullet"/>
      <w:lvlText w:val="•"/>
      <w:lvlJc w:val="left"/>
      <w:pPr>
        <w:tabs>
          <w:tab w:val="num" w:pos="5040"/>
        </w:tabs>
        <w:ind w:left="5040" w:hanging="360"/>
      </w:pPr>
      <w:rPr>
        <w:rFonts w:ascii="Arial" w:hAnsi="Arial" w:hint="default"/>
      </w:rPr>
    </w:lvl>
    <w:lvl w:ilvl="7" w:tplc="81308F18" w:tentative="1">
      <w:start w:val="1"/>
      <w:numFmt w:val="bullet"/>
      <w:lvlText w:val="•"/>
      <w:lvlJc w:val="left"/>
      <w:pPr>
        <w:tabs>
          <w:tab w:val="num" w:pos="5760"/>
        </w:tabs>
        <w:ind w:left="5760" w:hanging="360"/>
      </w:pPr>
      <w:rPr>
        <w:rFonts w:ascii="Arial" w:hAnsi="Arial" w:hint="default"/>
      </w:rPr>
    </w:lvl>
    <w:lvl w:ilvl="8" w:tplc="34C48A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A5482"/>
    <w:multiLevelType w:val="hybridMultilevel"/>
    <w:tmpl w:val="6B342C3C"/>
    <w:lvl w:ilvl="0" w:tplc="5AE4754E">
      <w:start w:val="1"/>
      <w:numFmt w:val="bullet"/>
      <w:lvlText w:val="•"/>
      <w:lvlJc w:val="left"/>
      <w:pPr>
        <w:tabs>
          <w:tab w:val="num" w:pos="720"/>
        </w:tabs>
        <w:ind w:left="720" w:hanging="360"/>
      </w:pPr>
      <w:rPr>
        <w:rFonts w:ascii="Arial" w:hAnsi="Arial" w:hint="default"/>
      </w:rPr>
    </w:lvl>
    <w:lvl w:ilvl="1" w:tplc="B3F69018">
      <w:start w:val="1"/>
      <w:numFmt w:val="bullet"/>
      <w:lvlText w:val="•"/>
      <w:lvlJc w:val="left"/>
      <w:pPr>
        <w:tabs>
          <w:tab w:val="num" w:pos="1440"/>
        </w:tabs>
        <w:ind w:left="1440" w:hanging="360"/>
      </w:pPr>
      <w:rPr>
        <w:rFonts w:ascii="Arial" w:hAnsi="Arial" w:hint="default"/>
      </w:rPr>
    </w:lvl>
    <w:lvl w:ilvl="2" w:tplc="85D23F78" w:tentative="1">
      <w:start w:val="1"/>
      <w:numFmt w:val="bullet"/>
      <w:lvlText w:val="•"/>
      <w:lvlJc w:val="left"/>
      <w:pPr>
        <w:tabs>
          <w:tab w:val="num" w:pos="2160"/>
        </w:tabs>
        <w:ind w:left="2160" w:hanging="360"/>
      </w:pPr>
      <w:rPr>
        <w:rFonts w:ascii="Arial" w:hAnsi="Arial" w:hint="default"/>
      </w:rPr>
    </w:lvl>
    <w:lvl w:ilvl="3" w:tplc="59AA6A54" w:tentative="1">
      <w:start w:val="1"/>
      <w:numFmt w:val="bullet"/>
      <w:lvlText w:val="•"/>
      <w:lvlJc w:val="left"/>
      <w:pPr>
        <w:tabs>
          <w:tab w:val="num" w:pos="2880"/>
        </w:tabs>
        <w:ind w:left="2880" w:hanging="360"/>
      </w:pPr>
      <w:rPr>
        <w:rFonts w:ascii="Arial" w:hAnsi="Arial" w:hint="default"/>
      </w:rPr>
    </w:lvl>
    <w:lvl w:ilvl="4" w:tplc="AE0447E2" w:tentative="1">
      <w:start w:val="1"/>
      <w:numFmt w:val="bullet"/>
      <w:lvlText w:val="•"/>
      <w:lvlJc w:val="left"/>
      <w:pPr>
        <w:tabs>
          <w:tab w:val="num" w:pos="3600"/>
        </w:tabs>
        <w:ind w:left="3600" w:hanging="360"/>
      </w:pPr>
      <w:rPr>
        <w:rFonts w:ascii="Arial" w:hAnsi="Arial" w:hint="default"/>
      </w:rPr>
    </w:lvl>
    <w:lvl w:ilvl="5" w:tplc="181EBA44" w:tentative="1">
      <w:start w:val="1"/>
      <w:numFmt w:val="bullet"/>
      <w:lvlText w:val="•"/>
      <w:lvlJc w:val="left"/>
      <w:pPr>
        <w:tabs>
          <w:tab w:val="num" w:pos="4320"/>
        </w:tabs>
        <w:ind w:left="4320" w:hanging="360"/>
      </w:pPr>
      <w:rPr>
        <w:rFonts w:ascii="Arial" w:hAnsi="Arial" w:hint="default"/>
      </w:rPr>
    </w:lvl>
    <w:lvl w:ilvl="6" w:tplc="6BC85EE6" w:tentative="1">
      <w:start w:val="1"/>
      <w:numFmt w:val="bullet"/>
      <w:lvlText w:val="•"/>
      <w:lvlJc w:val="left"/>
      <w:pPr>
        <w:tabs>
          <w:tab w:val="num" w:pos="5040"/>
        </w:tabs>
        <w:ind w:left="5040" w:hanging="360"/>
      </w:pPr>
      <w:rPr>
        <w:rFonts w:ascii="Arial" w:hAnsi="Arial" w:hint="default"/>
      </w:rPr>
    </w:lvl>
    <w:lvl w:ilvl="7" w:tplc="FEF47280" w:tentative="1">
      <w:start w:val="1"/>
      <w:numFmt w:val="bullet"/>
      <w:lvlText w:val="•"/>
      <w:lvlJc w:val="left"/>
      <w:pPr>
        <w:tabs>
          <w:tab w:val="num" w:pos="5760"/>
        </w:tabs>
        <w:ind w:left="5760" w:hanging="360"/>
      </w:pPr>
      <w:rPr>
        <w:rFonts w:ascii="Arial" w:hAnsi="Arial" w:hint="default"/>
      </w:rPr>
    </w:lvl>
    <w:lvl w:ilvl="8" w:tplc="10668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9F7433"/>
    <w:multiLevelType w:val="hybridMultilevel"/>
    <w:tmpl w:val="EC52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5CD06219"/>
    <w:multiLevelType w:val="hybridMultilevel"/>
    <w:tmpl w:val="29A64D54"/>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91F32"/>
    <w:multiLevelType w:val="hybridMultilevel"/>
    <w:tmpl w:val="DCB0F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0"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1"/>
  </w:num>
  <w:num w:numId="3">
    <w:abstractNumId w:val="47"/>
  </w:num>
  <w:num w:numId="4">
    <w:abstractNumId w:val="32"/>
  </w:num>
  <w:num w:numId="5">
    <w:abstractNumId w:val="28"/>
  </w:num>
  <w:num w:numId="6">
    <w:abstractNumId w:val="6"/>
  </w:num>
  <w:num w:numId="7">
    <w:abstractNumId w:val="44"/>
  </w:num>
  <w:num w:numId="8">
    <w:abstractNumId w:val="24"/>
  </w:num>
  <w:num w:numId="9">
    <w:abstractNumId w:val="37"/>
  </w:num>
  <w:num w:numId="10">
    <w:abstractNumId w:val="30"/>
  </w:num>
  <w:num w:numId="11">
    <w:abstractNumId w:val="15"/>
  </w:num>
  <w:num w:numId="12">
    <w:abstractNumId w:val="3"/>
  </w:num>
  <w:num w:numId="13">
    <w:abstractNumId w:val="4"/>
  </w:num>
  <w:num w:numId="14">
    <w:abstractNumId w:val="43"/>
  </w:num>
  <w:num w:numId="15">
    <w:abstractNumId w:val="0"/>
  </w:num>
  <w:num w:numId="16">
    <w:abstractNumId w:val="33"/>
  </w:num>
  <w:num w:numId="17">
    <w:abstractNumId w:val="34"/>
  </w:num>
  <w:num w:numId="18">
    <w:abstractNumId w:val="45"/>
  </w:num>
  <w:num w:numId="19">
    <w:abstractNumId w:val="19"/>
  </w:num>
  <w:num w:numId="20">
    <w:abstractNumId w:val="27"/>
  </w:num>
  <w:num w:numId="21">
    <w:abstractNumId w:val="22"/>
  </w:num>
  <w:num w:numId="22">
    <w:abstractNumId w:val="20"/>
  </w:num>
  <w:num w:numId="23">
    <w:abstractNumId w:val="14"/>
  </w:num>
  <w:num w:numId="24">
    <w:abstractNumId w:val="8"/>
  </w:num>
  <w:num w:numId="25">
    <w:abstractNumId w:val="2"/>
  </w:num>
  <w:num w:numId="26">
    <w:abstractNumId w:val="36"/>
  </w:num>
  <w:num w:numId="27">
    <w:abstractNumId w:val="7"/>
  </w:num>
  <w:num w:numId="28">
    <w:abstractNumId w:val="35"/>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2"/>
  </w:num>
  <w:num w:numId="32">
    <w:abstractNumId w:val="25"/>
  </w:num>
  <w:num w:numId="33">
    <w:abstractNumId w:val="11"/>
  </w:num>
  <w:num w:numId="34">
    <w:abstractNumId w:val="41"/>
  </w:num>
  <w:num w:numId="35">
    <w:abstractNumId w:val="26"/>
  </w:num>
  <w:num w:numId="36">
    <w:abstractNumId w:val="40"/>
  </w:num>
  <w:num w:numId="37">
    <w:abstractNumId w:val="21"/>
  </w:num>
  <w:num w:numId="38">
    <w:abstractNumId w:val="12"/>
  </w:num>
  <w:num w:numId="39">
    <w:abstractNumId w:val="29"/>
  </w:num>
  <w:num w:numId="40">
    <w:abstractNumId w:val="9"/>
  </w:num>
  <w:num w:numId="41">
    <w:abstractNumId w:val="18"/>
  </w:num>
  <w:num w:numId="42">
    <w:abstractNumId w:val="23"/>
  </w:num>
  <w:num w:numId="43">
    <w:abstractNumId w:val="17"/>
  </w:num>
  <w:num w:numId="44">
    <w:abstractNumId w:val="16"/>
  </w:num>
  <w:num w:numId="45">
    <w:abstractNumId w:val="10"/>
  </w:num>
  <w:num w:numId="46">
    <w:abstractNumId w:val="1"/>
    <w:lvlOverride w:ilvl="0">
      <w:startOverride w:val="1"/>
    </w:lvlOverride>
  </w:num>
  <w:num w:numId="47">
    <w:abstractNumId w:val="38"/>
  </w:num>
  <w:num w:numId="48">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123"/>
    <w:rsid w:val="00003183"/>
    <w:rsid w:val="000036D0"/>
    <w:rsid w:val="000044F9"/>
    <w:rsid w:val="00007377"/>
    <w:rsid w:val="00010540"/>
    <w:rsid w:val="00012402"/>
    <w:rsid w:val="00013DF7"/>
    <w:rsid w:val="00016124"/>
    <w:rsid w:val="00017485"/>
    <w:rsid w:val="00020F8F"/>
    <w:rsid w:val="000228CC"/>
    <w:rsid w:val="000231C0"/>
    <w:rsid w:val="000244F5"/>
    <w:rsid w:val="000247C7"/>
    <w:rsid w:val="00027457"/>
    <w:rsid w:val="00027BAE"/>
    <w:rsid w:val="000306F3"/>
    <w:rsid w:val="00032322"/>
    <w:rsid w:val="00033B0B"/>
    <w:rsid w:val="0003430D"/>
    <w:rsid w:val="00035010"/>
    <w:rsid w:val="000365A7"/>
    <w:rsid w:val="00036DBA"/>
    <w:rsid w:val="0003720A"/>
    <w:rsid w:val="00037B94"/>
    <w:rsid w:val="000410E7"/>
    <w:rsid w:val="00043EFF"/>
    <w:rsid w:val="00045501"/>
    <w:rsid w:val="00045914"/>
    <w:rsid w:val="00045CD1"/>
    <w:rsid w:val="000544BF"/>
    <w:rsid w:val="00054543"/>
    <w:rsid w:val="00054AE5"/>
    <w:rsid w:val="00055E7D"/>
    <w:rsid w:val="0005667D"/>
    <w:rsid w:val="00056A69"/>
    <w:rsid w:val="000571B3"/>
    <w:rsid w:val="00062718"/>
    <w:rsid w:val="000666F8"/>
    <w:rsid w:val="00073E2D"/>
    <w:rsid w:val="0007476A"/>
    <w:rsid w:val="00076018"/>
    <w:rsid w:val="0007793C"/>
    <w:rsid w:val="00080398"/>
    <w:rsid w:val="000824DA"/>
    <w:rsid w:val="00083372"/>
    <w:rsid w:val="0008376C"/>
    <w:rsid w:val="0008400B"/>
    <w:rsid w:val="00090D6C"/>
    <w:rsid w:val="00090F2F"/>
    <w:rsid w:val="000937F9"/>
    <w:rsid w:val="000940B2"/>
    <w:rsid w:val="000A07C8"/>
    <w:rsid w:val="000A7317"/>
    <w:rsid w:val="000A75B0"/>
    <w:rsid w:val="000B1540"/>
    <w:rsid w:val="000B3C26"/>
    <w:rsid w:val="000B57BA"/>
    <w:rsid w:val="000C2908"/>
    <w:rsid w:val="000C3DF4"/>
    <w:rsid w:val="000C528E"/>
    <w:rsid w:val="000D2E83"/>
    <w:rsid w:val="000D3E4E"/>
    <w:rsid w:val="000D4892"/>
    <w:rsid w:val="000D7297"/>
    <w:rsid w:val="000E1B22"/>
    <w:rsid w:val="000E1B94"/>
    <w:rsid w:val="000E36EC"/>
    <w:rsid w:val="000E44A1"/>
    <w:rsid w:val="000E48F2"/>
    <w:rsid w:val="000E6249"/>
    <w:rsid w:val="000E66FB"/>
    <w:rsid w:val="000F0A0D"/>
    <w:rsid w:val="000F195F"/>
    <w:rsid w:val="000F2C63"/>
    <w:rsid w:val="000F5F22"/>
    <w:rsid w:val="000F7B85"/>
    <w:rsid w:val="00100239"/>
    <w:rsid w:val="00100953"/>
    <w:rsid w:val="00100C0C"/>
    <w:rsid w:val="001015F2"/>
    <w:rsid w:val="001025E0"/>
    <w:rsid w:val="001053B2"/>
    <w:rsid w:val="001079CA"/>
    <w:rsid w:val="00112891"/>
    <w:rsid w:val="00113975"/>
    <w:rsid w:val="001157DE"/>
    <w:rsid w:val="001174FA"/>
    <w:rsid w:val="00120355"/>
    <w:rsid w:val="001216BD"/>
    <w:rsid w:val="001223F3"/>
    <w:rsid w:val="0012290A"/>
    <w:rsid w:val="00122B30"/>
    <w:rsid w:val="0012415D"/>
    <w:rsid w:val="00124F48"/>
    <w:rsid w:val="00127558"/>
    <w:rsid w:val="00127C3A"/>
    <w:rsid w:val="0013001B"/>
    <w:rsid w:val="001316D0"/>
    <w:rsid w:val="00137270"/>
    <w:rsid w:val="001378EC"/>
    <w:rsid w:val="001379A2"/>
    <w:rsid w:val="00137F94"/>
    <w:rsid w:val="00140246"/>
    <w:rsid w:val="001450AD"/>
    <w:rsid w:val="00147337"/>
    <w:rsid w:val="00147642"/>
    <w:rsid w:val="00150ED9"/>
    <w:rsid w:val="0015291E"/>
    <w:rsid w:val="00153674"/>
    <w:rsid w:val="00154732"/>
    <w:rsid w:val="0015502A"/>
    <w:rsid w:val="0015562F"/>
    <w:rsid w:val="0016285A"/>
    <w:rsid w:val="0016496A"/>
    <w:rsid w:val="00164E9F"/>
    <w:rsid w:val="00167A2A"/>
    <w:rsid w:val="0017371F"/>
    <w:rsid w:val="001737E1"/>
    <w:rsid w:val="00175014"/>
    <w:rsid w:val="00175632"/>
    <w:rsid w:val="001800B9"/>
    <w:rsid w:val="00180764"/>
    <w:rsid w:val="001814E8"/>
    <w:rsid w:val="00182A76"/>
    <w:rsid w:val="0019142A"/>
    <w:rsid w:val="001924F4"/>
    <w:rsid w:val="001930DD"/>
    <w:rsid w:val="0019329E"/>
    <w:rsid w:val="00193462"/>
    <w:rsid w:val="00195DD7"/>
    <w:rsid w:val="00196851"/>
    <w:rsid w:val="00196896"/>
    <w:rsid w:val="001A110A"/>
    <w:rsid w:val="001A39C8"/>
    <w:rsid w:val="001A53F8"/>
    <w:rsid w:val="001A6AEA"/>
    <w:rsid w:val="001A763F"/>
    <w:rsid w:val="001A7C08"/>
    <w:rsid w:val="001B1669"/>
    <w:rsid w:val="001B17A1"/>
    <w:rsid w:val="001B21F9"/>
    <w:rsid w:val="001B2355"/>
    <w:rsid w:val="001B50B9"/>
    <w:rsid w:val="001C2832"/>
    <w:rsid w:val="001C403C"/>
    <w:rsid w:val="001E3CDE"/>
    <w:rsid w:val="001E4E85"/>
    <w:rsid w:val="001E6B34"/>
    <w:rsid w:val="001F1D9D"/>
    <w:rsid w:val="001F7D26"/>
    <w:rsid w:val="00200759"/>
    <w:rsid w:val="002053BB"/>
    <w:rsid w:val="00205606"/>
    <w:rsid w:val="00205ACB"/>
    <w:rsid w:val="00207EBC"/>
    <w:rsid w:val="002105D5"/>
    <w:rsid w:val="00213D5D"/>
    <w:rsid w:val="002147D1"/>
    <w:rsid w:val="002149B3"/>
    <w:rsid w:val="00215B80"/>
    <w:rsid w:val="00216A8D"/>
    <w:rsid w:val="0022093A"/>
    <w:rsid w:val="00223374"/>
    <w:rsid w:val="00224720"/>
    <w:rsid w:val="00224BA3"/>
    <w:rsid w:val="002310D5"/>
    <w:rsid w:val="00231708"/>
    <w:rsid w:val="00233FEA"/>
    <w:rsid w:val="0023415E"/>
    <w:rsid w:val="00235FDF"/>
    <w:rsid w:val="00237007"/>
    <w:rsid w:val="00240492"/>
    <w:rsid w:val="0024332F"/>
    <w:rsid w:val="002433A0"/>
    <w:rsid w:val="0024472E"/>
    <w:rsid w:val="002460FA"/>
    <w:rsid w:val="00247088"/>
    <w:rsid w:val="00247523"/>
    <w:rsid w:val="002506DC"/>
    <w:rsid w:val="002576F0"/>
    <w:rsid w:val="002579A8"/>
    <w:rsid w:val="00257D54"/>
    <w:rsid w:val="00260FB9"/>
    <w:rsid w:val="00261BD4"/>
    <w:rsid w:val="002677CF"/>
    <w:rsid w:val="00273C47"/>
    <w:rsid w:val="00274169"/>
    <w:rsid w:val="002764DD"/>
    <w:rsid w:val="002770D8"/>
    <w:rsid w:val="00282964"/>
    <w:rsid w:val="00285D76"/>
    <w:rsid w:val="00286D69"/>
    <w:rsid w:val="00287AEC"/>
    <w:rsid w:val="00291D9A"/>
    <w:rsid w:val="002923E6"/>
    <w:rsid w:val="00292883"/>
    <w:rsid w:val="00294E6D"/>
    <w:rsid w:val="00296B3D"/>
    <w:rsid w:val="002A0658"/>
    <w:rsid w:val="002A1728"/>
    <w:rsid w:val="002A3466"/>
    <w:rsid w:val="002A3812"/>
    <w:rsid w:val="002A4E64"/>
    <w:rsid w:val="002A709C"/>
    <w:rsid w:val="002A7B15"/>
    <w:rsid w:val="002B1AE2"/>
    <w:rsid w:val="002B386D"/>
    <w:rsid w:val="002B4CDB"/>
    <w:rsid w:val="002B53C5"/>
    <w:rsid w:val="002B6FDC"/>
    <w:rsid w:val="002C136E"/>
    <w:rsid w:val="002C225D"/>
    <w:rsid w:val="002C24C1"/>
    <w:rsid w:val="002C3C0C"/>
    <w:rsid w:val="002C60F7"/>
    <w:rsid w:val="002C6764"/>
    <w:rsid w:val="002C7E73"/>
    <w:rsid w:val="002D1318"/>
    <w:rsid w:val="002D32FC"/>
    <w:rsid w:val="002D76E5"/>
    <w:rsid w:val="002E0A33"/>
    <w:rsid w:val="002E1B20"/>
    <w:rsid w:val="002E2613"/>
    <w:rsid w:val="002E4D8A"/>
    <w:rsid w:val="002E59C0"/>
    <w:rsid w:val="002E6C4F"/>
    <w:rsid w:val="002F4383"/>
    <w:rsid w:val="002F5E2B"/>
    <w:rsid w:val="003009C8"/>
    <w:rsid w:val="00301906"/>
    <w:rsid w:val="003047EF"/>
    <w:rsid w:val="00304979"/>
    <w:rsid w:val="00304EE6"/>
    <w:rsid w:val="00305DB3"/>
    <w:rsid w:val="00306FBD"/>
    <w:rsid w:val="0030770B"/>
    <w:rsid w:val="0031110E"/>
    <w:rsid w:val="00311ED8"/>
    <w:rsid w:val="003137D2"/>
    <w:rsid w:val="0031510A"/>
    <w:rsid w:val="00322BC5"/>
    <w:rsid w:val="00322F63"/>
    <w:rsid w:val="00327DAB"/>
    <w:rsid w:val="00331AE0"/>
    <w:rsid w:val="00333536"/>
    <w:rsid w:val="00333E72"/>
    <w:rsid w:val="0033409E"/>
    <w:rsid w:val="003346F0"/>
    <w:rsid w:val="00337ECE"/>
    <w:rsid w:val="00340742"/>
    <w:rsid w:val="00342965"/>
    <w:rsid w:val="0034384E"/>
    <w:rsid w:val="0035056C"/>
    <w:rsid w:val="003540C8"/>
    <w:rsid w:val="00363585"/>
    <w:rsid w:val="0036381D"/>
    <w:rsid w:val="00363B9A"/>
    <w:rsid w:val="00364D8F"/>
    <w:rsid w:val="00364DB0"/>
    <w:rsid w:val="00366981"/>
    <w:rsid w:val="00366B99"/>
    <w:rsid w:val="00366C1C"/>
    <w:rsid w:val="00367345"/>
    <w:rsid w:val="00371B3A"/>
    <w:rsid w:val="0037643F"/>
    <w:rsid w:val="00376CB1"/>
    <w:rsid w:val="00377345"/>
    <w:rsid w:val="003829FD"/>
    <w:rsid w:val="0038424A"/>
    <w:rsid w:val="003877DA"/>
    <w:rsid w:val="00390DD4"/>
    <w:rsid w:val="0039166C"/>
    <w:rsid w:val="003920A0"/>
    <w:rsid w:val="00392475"/>
    <w:rsid w:val="00397668"/>
    <w:rsid w:val="003A1ABB"/>
    <w:rsid w:val="003A1C46"/>
    <w:rsid w:val="003A34FD"/>
    <w:rsid w:val="003A7012"/>
    <w:rsid w:val="003B2E70"/>
    <w:rsid w:val="003B3798"/>
    <w:rsid w:val="003B5254"/>
    <w:rsid w:val="003B526E"/>
    <w:rsid w:val="003B6750"/>
    <w:rsid w:val="003B7686"/>
    <w:rsid w:val="003C1597"/>
    <w:rsid w:val="003C185E"/>
    <w:rsid w:val="003C1E22"/>
    <w:rsid w:val="003C2F38"/>
    <w:rsid w:val="003C34CC"/>
    <w:rsid w:val="003C3641"/>
    <w:rsid w:val="003C3E9E"/>
    <w:rsid w:val="003C410F"/>
    <w:rsid w:val="003C4F56"/>
    <w:rsid w:val="003C7FA2"/>
    <w:rsid w:val="003D047C"/>
    <w:rsid w:val="003D3DB4"/>
    <w:rsid w:val="003E0D33"/>
    <w:rsid w:val="003E15BC"/>
    <w:rsid w:val="003E5117"/>
    <w:rsid w:val="003F1425"/>
    <w:rsid w:val="003F1C3E"/>
    <w:rsid w:val="003F214A"/>
    <w:rsid w:val="003F3555"/>
    <w:rsid w:val="003F4661"/>
    <w:rsid w:val="003F6B18"/>
    <w:rsid w:val="00400007"/>
    <w:rsid w:val="00402E9C"/>
    <w:rsid w:val="0040345F"/>
    <w:rsid w:val="00407D16"/>
    <w:rsid w:val="00410BAC"/>
    <w:rsid w:val="00410CCF"/>
    <w:rsid w:val="004145F6"/>
    <w:rsid w:val="00421CD2"/>
    <w:rsid w:val="004230B8"/>
    <w:rsid w:val="0042480E"/>
    <w:rsid w:val="00424BCB"/>
    <w:rsid w:val="004278C1"/>
    <w:rsid w:val="00427C00"/>
    <w:rsid w:val="004305CE"/>
    <w:rsid w:val="00431990"/>
    <w:rsid w:val="0043352D"/>
    <w:rsid w:val="0043538A"/>
    <w:rsid w:val="0043553E"/>
    <w:rsid w:val="0043698B"/>
    <w:rsid w:val="004379F8"/>
    <w:rsid w:val="00437EB9"/>
    <w:rsid w:val="00440484"/>
    <w:rsid w:val="0044085C"/>
    <w:rsid w:val="00441F88"/>
    <w:rsid w:val="00443C14"/>
    <w:rsid w:val="00443EE7"/>
    <w:rsid w:val="004440D6"/>
    <w:rsid w:val="00445733"/>
    <w:rsid w:val="00450D19"/>
    <w:rsid w:val="0045185F"/>
    <w:rsid w:val="004526F4"/>
    <w:rsid w:val="00453D63"/>
    <w:rsid w:val="0045621B"/>
    <w:rsid w:val="00460C1E"/>
    <w:rsid w:val="00461B98"/>
    <w:rsid w:val="00462EDF"/>
    <w:rsid w:val="00462F56"/>
    <w:rsid w:val="00465F61"/>
    <w:rsid w:val="004669B6"/>
    <w:rsid w:val="00466FC5"/>
    <w:rsid w:val="00473420"/>
    <w:rsid w:val="00475537"/>
    <w:rsid w:val="004772A1"/>
    <w:rsid w:val="004803B7"/>
    <w:rsid w:val="00483DEA"/>
    <w:rsid w:val="00484937"/>
    <w:rsid w:val="00491166"/>
    <w:rsid w:val="004914D1"/>
    <w:rsid w:val="00496323"/>
    <w:rsid w:val="0049677E"/>
    <w:rsid w:val="00496C2E"/>
    <w:rsid w:val="0049752F"/>
    <w:rsid w:val="004A2C9B"/>
    <w:rsid w:val="004A49AD"/>
    <w:rsid w:val="004A4A1E"/>
    <w:rsid w:val="004B1053"/>
    <w:rsid w:val="004B13B6"/>
    <w:rsid w:val="004B2F38"/>
    <w:rsid w:val="004B385B"/>
    <w:rsid w:val="004B54D6"/>
    <w:rsid w:val="004B55DF"/>
    <w:rsid w:val="004B56F0"/>
    <w:rsid w:val="004B6301"/>
    <w:rsid w:val="004C716B"/>
    <w:rsid w:val="004D0038"/>
    <w:rsid w:val="004D10C9"/>
    <w:rsid w:val="004D1327"/>
    <w:rsid w:val="004D3CCB"/>
    <w:rsid w:val="004E48B0"/>
    <w:rsid w:val="004E67B2"/>
    <w:rsid w:val="004E72ED"/>
    <w:rsid w:val="004F0299"/>
    <w:rsid w:val="004F0CEF"/>
    <w:rsid w:val="004F25FF"/>
    <w:rsid w:val="004F27EB"/>
    <w:rsid w:val="004F295D"/>
    <w:rsid w:val="004F4610"/>
    <w:rsid w:val="004F53F3"/>
    <w:rsid w:val="004F6AFC"/>
    <w:rsid w:val="004F6E2F"/>
    <w:rsid w:val="004F6F30"/>
    <w:rsid w:val="004F7895"/>
    <w:rsid w:val="004F7A6F"/>
    <w:rsid w:val="004F7F8F"/>
    <w:rsid w:val="0050049D"/>
    <w:rsid w:val="00504CA3"/>
    <w:rsid w:val="00505880"/>
    <w:rsid w:val="00507411"/>
    <w:rsid w:val="005120C9"/>
    <w:rsid w:val="005152A8"/>
    <w:rsid w:val="005163CE"/>
    <w:rsid w:val="00521AA5"/>
    <w:rsid w:val="0052380E"/>
    <w:rsid w:val="00524340"/>
    <w:rsid w:val="005270F6"/>
    <w:rsid w:val="0053201D"/>
    <w:rsid w:val="00540AE7"/>
    <w:rsid w:val="005415E2"/>
    <w:rsid w:val="005457FA"/>
    <w:rsid w:val="00547B7A"/>
    <w:rsid w:val="00554794"/>
    <w:rsid w:val="005551B3"/>
    <w:rsid w:val="00555F24"/>
    <w:rsid w:val="0055627F"/>
    <w:rsid w:val="00557216"/>
    <w:rsid w:val="0056179B"/>
    <w:rsid w:val="00561B6B"/>
    <w:rsid w:val="00563E7A"/>
    <w:rsid w:val="00564315"/>
    <w:rsid w:val="00565401"/>
    <w:rsid w:val="00565EE1"/>
    <w:rsid w:val="00570D55"/>
    <w:rsid w:val="00574132"/>
    <w:rsid w:val="00574E3D"/>
    <w:rsid w:val="00576517"/>
    <w:rsid w:val="005772AD"/>
    <w:rsid w:val="00577D07"/>
    <w:rsid w:val="00582F42"/>
    <w:rsid w:val="005855E4"/>
    <w:rsid w:val="00586B69"/>
    <w:rsid w:val="00591563"/>
    <w:rsid w:val="00591E48"/>
    <w:rsid w:val="00593F19"/>
    <w:rsid w:val="0059468C"/>
    <w:rsid w:val="00594CE1"/>
    <w:rsid w:val="005A28AF"/>
    <w:rsid w:val="005A33DD"/>
    <w:rsid w:val="005A4948"/>
    <w:rsid w:val="005A5F9F"/>
    <w:rsid w:val="005A5FF0"/>
    <w:rsid w:val="005A74CC"/>
    <w:rsid w:val="005A794D"/>
    <w:rsid w:val="005B0C9C"/>
    <w:rsid w:val="005B0FEE"/>
    <w:rsid w:val="005B3A24"/>
    <w:rsid w:val="005C0886"/>
    <w:rsid w:val="005C0B6B"/>
    <w:rsid w:val="005C0EE2"/>
    <w:rsid w:val="005C58CB"/>
    <w:rsid w:val="005C769E"/>
    <w:rsid w:val="005D1D27"/>
    <w:rsid w:val="005D7C2D"/>
    <w:rsid w:val="005E0961"/>
    <w:rsid w:val="005E1032"/>
    <w:rsid w:val="005E41CD"/>
    <w:rsid w:val="005E4C14"/>
    <w:rsid w:val="005E5BE5"/>
    <w:rsid w:val="005E6CC6"/>
    <w:rsid w:val="005F2123"/>
    <w:rsid w:val="005F3F8A"/>
    <w:rsid w:val="005F43FC"/>
    <w:rsid w:val="005F448E"/>
    <w:rsid w:val="005F4E4D"/>
    <w:rsid w:val="005F534C"/>
    <w:rsid w:val="005F53C4"/>
    <w:rsid w:val="005F63D2"/>
    <w:rsid w:val="005F66DA"/>
    <w:rsid w:val="005F6F46"/>
    <w:rsid w:val="0060309C"/>
    <w:rsid w:val="0060312A"/>
    <w:rsid w:val="0060335A"/>
    <w:rsid w:val="0060375E"/>
    <w:rsid w:val="006069B3"/>
    <w:rsid w:val="00610E19"/>
    <w:rsid w:val="00611CAE"/>
    <w:rsid w:val="006131D0"/>
    <w:rsid w:val="0061387D"/>
    <w:rsid w:val="00613AF5"/>
    <w:rsid w:val="006149E8"/>
    <w:rsid w:val="006156B4"/>
    <w:rsid w:val="00617E8D"/>
    <w:rsid w:val="006252CE"/>
    <w:rsid w:val="00627D12"/>
    <w:rsid w:val="00630071"/>
    <w:rsid w:val="006304C7"/>
    <w:rsid w:val="006312D9"/>
    <w:rsid w:val="00634C39"/>
    <w:rsid w:val="006429A1"/>
    <w:rsid w:val="006438F0"/>
    <w:rsid w:val="00645883"/>
    <w:rsid w:val="006477DB"/>
    <w:rsid w:val="00651250"/>
    <w:rsid w:val="00653693"/>
    <w:rsid w:val="00653D8A"/>
    <w:rsid w:val="006547F4"/>
    <w:rsid w:val="0066077E"/>
    <w:rsid w:val="00661B7E"/>
    <w:rsid w:val="0066272D"/>
    <w:rsid w:val="0066276B"/>
    <w:rsid w:val="00662FEF"/>
    <w:rsid w:val="00663B30"/>
    <w:rsid w:val="0066409B"/>
    <w:rsid w:val="0066446C"/>
    <w:rsid w:val="0066604D"/>
    <w:rsid w:val="006666C6"/>
    <w:rsid w:val="00674539"/>
    <w:rsid w:val="0067530F"/>
    <w:rsid w:val="00675A9A"/>
    <w:rsid w:val="00680CA2"/>
    <w:rsid w:val="00680DA8"/>
    <w:rsid w:val="0068217D"/>
    <w:rsid w:val="00684FEF"/>
    <w:rsid w:val="00693CC9"/>
    <w:rsid w:val="006A3FC5"/>
    <w:rsid w:val="006A6155"/>
    <w:rsid w:val="006A7146"/>
    <w:rsid w:val="006B0275"/>
    <w:rsid w:val="006B0E0C"/>
    <w:rsid w:val="006B377F"/>
    <w:rsid w:val="006B62B2"/>
    <w:rsid w:val="006B6672"/>
    <w:rsid w:val="006C204E"/>
    <w:rsid w:val="006C3F53"/>
    <w:rsid w:val="006C50B2"/>
    <w:rsid w:val="006D06B5"/>
    <w:rsid w:val="006D1381"/>
    <w:rsid w:val="006D28C1"/>
    <w:rsid w:val="006D3CBB"/>
    <w:rsid w:val="006D3EEF"/>
    <w:rsid w:val="006D495C"/>
    <w:rsid w:val="006D4FBD"/>
    <w:rsid w:val="006D501D"/>
    <w:rsid w:val="006D54EC"/>
    <w:rsid w:val="006D6D3C"/>
    <w:rsid w:val="006D764E"/>
    <w:rsid w:val="006D765D"/>
    <w:rsid w:val="006E1B48"/>
    <w:rsid w:val="006E279E"/>
    <w:rsid w:val="006E3AEE"/>
    <w:rsid w:val="006E4E6E"/>
    <w:rsid w:val="006E6DD1"/>
    <w:rsid w:val="006E6EC9"/>
    <w:rsid w:val="006F20B2"/>
    <w:rsid w:val="006F2A97"/>
    <w:rsid w:val="006F38C7"/>
    <w:rsid w:val="006F40BC"/>
    <w:rsid w:val="006F4D72"/>
    <w:rsid w:val="006F4DCB"/>
    <w:rsid w:val="006F4EEC"/>
    <w:rsid w:val="006F54F0"/>
    <w:rsid w:val="006F6E51"/>
    <w:rsid w:val="0070016D"/>
    <w:rsid w:val="00701364"/>
    <w:rsid w:val="007047A9"/>
    <w:rsid w:val="00704BB1"/>
    <w:rsid w:val="007104FB"/>
    <w:rsid w:val="00711A57"/>
    <w:rsid w:val="00712127"/>
    <w:rsid w:val="007124C4"/>
    <w:rsid w:val="00712DA8"/>
    <w:rsid w:val="007138AF"/>
    <w:rsid w:val="00714523"/>
    <w:rsid w:val="00714628"/>
    <w:rsid w:val="00721FFC"/>
    <w:rsid w:val="007237A8"/>
    <w:rsid w:val="0072519F"/>
    <w:rsid w:val="00732335"/>
    <w:rsid w:val="00734F50"/>
    <w:rsid w:val="00735055"/>
    <w:rsid w:val="0073567C"/>
    <w:rsid w:val="007359FC"/>
    <w:rsid w:val="0073778F"/>
    <w:rsid w:val="0073794F"/>
    <w:rsid w:val="00740832"/>
    <w:rsid w:val="007410FD"/>
    <w:rsid w:val="0074173A"/>
    <w:rsid w:val="0074348F"/>
    <w:rsid w:val="007439DC"/>
    <w:rsid w:val="00746535"/>
    <w:rsid w:val="007466FD"/>
    <w:rsid w:val="007468F1"/>
    <w:rsid w:val="00746ABA"/>
    <w:rsid w:val="00746EBE"/>
    <w:rsid w:val="00747ED4"/>
    <w:rsid w:val="00750714"/>
    <w:rsid w:val="007515ED"/>
    <w:rsid w:val="00752AE7"/>
    <w:rsid w:val="007556E1"/>
    <w:rsid w:val="007614FD"/>
    <w:rsid w:val="0076488F"/>
    <w:rsid w:val="007648B6"/>
    <w:rsid w:val="00771C0E"/>
    <w:rsid w:val="00775476"/>
    <w:rsid w:val="007800E4"/>
    <w:rsid w:val="0078086F"/>
    <w:rsid w:val="007813A5"/>
    <w:rsid w:val="00782900"/>
    <w:rsid w:val="007833A7"/>
    <w:rsid w:val="007835A0"/>
    <w:rsid w:val="00786AAA"/>
    <w:rsid w:val="00786AC7"/>
    <w:rsid w:val="00794097"/>
    <w:rsid w:val="00794973"/>
    <w:rsid w:val="00794C2A"/>
    <w:rsid w:val="007A2558"/>
    <w:rsid w:val="007A5F6E"/>
    <w:rsid w:val="007A6D5C"/>
    <w:rsid w:val="007A701D"/>
    <w:rsid w:val="007B12FD"/>
    <w:rsid w:val="007B35CB"/>
    <w:rsid w:val="007B613E"/>
    <w:rsid w:val="007B79E2"/>
    <w:rsid w:val="007B7BA2"/>
    <w:rsid w:val="007C04D9"/>
    <w:rsid w:val="007C2EAE"/>
    <w:rsid w:val="007C360E"/>
    <w:rsid w:val="007C42DB"/>
    <w:rsid w:val="007C514B"/>
    <w:rsid w:val="007C674F"/>
    <w:rsid w:val="007C7BAA"/>
    <w:rsid w:val="007D0A2F"/>
    <w:rsid w:val="007D58CF"/>
    <w:rsid w:val="007D6638"/>
    <w:rsid w:val="007E301A"/>
    <w:rsid w:val="007E3430"/>
    <w:rsid w:val="007E6BE6"/>
    <w:rsid w:val="007F3B35"/>
    <w:rsid w:val="008007E9"/>
    <w:rsid w:val="00800A46"/>
    <w:rsid w:val="00800CD0"/>
    <w:rsid w:val="008017AB"/>
    <w:rsid w:val="008039B6"/>
    <w:rsid w:val="00803B87"/>
    <w:rsid w:val="00806D7A"/>
    <w:rsid w:val="00807B78"/>
    <w:rsid w:val="00810E1F"/>
    <w:rsid w:val="008117DC"/>
    <w:rsid w:val="0081371C"/>
    <w:rsid w:val="00813DE7"/>
    <w:rsid w:val="00815CB3"/>
    <w:rsid w:val="00816306"/>
    <w:rsid w:val="0081650E"/>
    <w:rsid w:val="00822AA7"/>
    <w:rsid w:val="008243A9"/>
    <w:rsid w:val="00824450"/>
    <w:rsid w:val="0082479B"/>
    <w:rsid w:val="008316A8"/>
    <w:rsid w:val="008410FB"/>
    <w:rsid w:val="008471A0"/>
    <w:rsid w:val="00847EBE"/>
    <w:rsid w:val="0085189A"/>
    <w:rsid w:val="00855202"/>
    <w:rsid w:val="00856071"/>
    <w:rsid w:val="008564D4"/>
    <w:rsid w:val="00857E3A"/>
    <w:rsid w:val="008609B4"/>
    <w:rsid w:val="0086323B"/>
    <w:rsid w:val="00863926"/>
    <w:rsid w:val="00864501"/>
    <w:rsid w:val="00874B44"/>
    <w:rsid w:val="0087613F"/>
    <w:rsid w:val="00881DC1"/>
    <w:rsid w:val="00890434"/>
    <w:rsid w:val="00890742"/>
    <w:rsid w:val="00892410"/>
    <w:rsid w:val="00892BDE"/>
    <w:rsid w:val="00895EC4"/>
    <w:rsid w:val="008963A4"/>
    <w:rsid w:val="0089760F"/>
    <w:rsid w:val="008976E1"/>
    <w:rsid w:val="008A2692"/>
    <w:rsid w:val="008A3476"/>
    <w:rsid w:val="008A3E0F"/>
    <w:rsid w:val="008A4299"/>
    <w:rsid w:val="008A4477"/>
    <w:rsid w:val="008A7FE8"/>
    <w:rsid w:val="008B006C"/>
    <w:rsid w:val="008B16F5"/>
    <w:rsid w:val="008B2264"/>
    <w:rsid w:val="008B47EF"/>
    <w:rsid w:val="008B6116"/>
    <w:rsid w:val="008B7338"/>
    <w:rsid w:val="008C1A35"/>
    <w:rsid w:val="008C1F05"/>
    <w:rsid w:val="008C256F"/>
    <w:rsid w:val="008C2E12"/>
    <w:rsid w:val="008C6109"/>
    <w:rsid w:val="008C7E01"/>
    <w:rsid w:val="008C7EEF"/>
    <w:rsid w:val="008D17C1"/>
    <w:rsid w:val="008D23FB"/>
    <w:rsid w:val="008D5DD7"/>
    <w:rsid w:val="008D7A9D"/>
    <w:rsid w:val="008E0EAF"/>
    <w:rsid w:val="008E0EE9"/>
    <w:rsid w:val="008E1813"/>
    <w:rsid w:val="008E7FEA"/>
    <w:rsid w:val="008F09BA"/>
    <w:rsid w:val="008F1435"/>
    <w:rsid w:val="008F31BC"/>
    <w:rsid w:val="008F32F6"/>
    <w:rsid w:val="008F38CB"/>
    <w:rsid w:val="008F5BE4"/>
    <w:rsid w:val="008F77C6"/>
    <w:rsid w:val="00901695"/>
    <w:rsid w:val="00902351"/>
    <w:rsid w:val="00904C38"/>
    <w:rsid w:val="00906266"/>
    <w:rsid w:val="009069BB"/>
    <w:rsid w:val="0091288C"/>
    <w:rsid w:val="00916A30"/>
    <w:rsid w:val="009238DC"/>
    <w:rsid w:val="00925088"/>
    <w:rsid w:val="0092763C"/>
    <w:rsid w:val="00931EA6"/>
    <w:rsid w:val="009320D5"/>
    <w:rsid w:val="00932B8E"/>
    <w:rsid w:val="00934666"/>
    <w:rsid w:val="00934D80"/>
    <w:rsid w:val="0093764E"/>
    <w:rsid w:val="0094127A"/>
    <w:rsid w:val="00943773"/>
    <w:rsid w:val="00944525"/>
    <w:rsid w:val="009447F6"/>
    <w:rsid w:val="0094699A"/>
    <w:rsid w:val="0094745A"/>
    <w:rsid w:val="00951051"/>
    <w:rsid w:val="0095140B"/>
    <w:rsid w:val="009522CE"/>
    <w:rsid w:val="009531D3"/>
    <w:rsid w:val="0095529C"/>
    <w:rsid w:val="009565AF"/>
    <w:rsid w:val="00956D39"/>
    <w:rsid w:val="00957257"/>
    <w:rsid w:val="00957DC7"/>
    <w:rsid w:val="00962883"/>
    <w:rsid w:val="00964AF1"/>
    <w:rsid w:val="00966C7B"/>
    <w:rsid w:val="009712B1"/>
    <w:rsid w:val="00972583"/>
    <w:rsid w:val="009761D3"/>
    <w:rsid w:val="0098040B"/>
    <w:rsid w:val="009835AC"/>
    <w:rsid w:val="009862AB"/>
    <w:rsid w:val="009909BF"/>
    <w:rsid w:val="00994513"/>
    <w:rsid w:val="00995E87"/>
    <w:rsid w:val="00997F56"/>
    <w:rsid w:val="009A0D24"/>
    <w:rsid w:val="009A193B"/>
    <w:rsid w:val="009A1EFD"/>
    <w:rsid w:val="009A22AE"/>
    <w:rsid w:val="009A2F87"/>
    <w:rsid w:val="009A72AE"/>
    <w:rsid w:val="009B04DD"/>
    <w:rsid w:val="009B672E"/>
    <w:rsid w:val="009C05C2"/>
    <w:rsid w:val="009C46F8"/>
    <w:rsid w:val="009C52E6"/>
    <w:rsid w:val="009C7160"/>
    <w:rsid w:val="009D1BB1"/>
    <w:rsid w:val="009D299F"/>
    <w:rsid w:val="009D2ECE"/>
    <w:rsid w:val="009D3364"/>
    <w:rsid w:val="009D417A"/>
    <w:rsid w:val="009D6404"/>
    <w:rsid w:val="009E09EA"/>
    <w:rsid w:val="009E2F82"/>
    <w:rsid w:val="009E6142"/>
    <w:rsid w:val="009E7305"/>
    <w:rsid w:val="009E75A5"/>
    <w:rsid w:val="009E7AD9"/>
    <w:rsid w:val="009F1389"/>
    <w:rsid w:val="009F1F98"/>
    <w:rsid w:val="009F2B59"/>
    <w:rsid w:val="009F4343"/>
    <w:rsid w:val="009F485D"/>
    <w:rsid w:val="009F5DFD"/>
    <w:rsid w:val="009F6B24"/>
    <w:rsid w:val="009F759B"/>
    <w:rsid w:val="009F77C0"/>
    <w:rsid w:val="009F7E80"/>
    <w:rsid w:val="00A009B2"/>
    <w:rsid w:val="00A03B84"/>
    <w:rsid w:val="00A03B93"/>
    <w:rsid w:val="00A07BC6"/>
    <w:rsid w:val="00A116F3"/>
    <w:rsid w:val="00A1257C"/>
    <w:rsid w:val="00A1296F"/>
    <w:rsid w:val="00A14498"/>
    <w:rsid w:val="00A160DC"/>
    <w:rsid w:val="00A20F64"/>
    <w:rsid w:val="00A2335D"/>
    <w:rsid w:val="00A2345A"/>
    <w:rsid w:val="00A23FDB"/>
    <w:rsid w:val="00A245A4"/>
    <w:rsid w:val="00A25EDD"/>
    <w:rsid w:val="00A268F2"/>
    <w:rsid w:val="00A30E57"/>
    <w:rsid w:val="00A33834"/>
    <w:rsid w:val="00A33AB9"/>
    <w:rsid w:val="00A378D9"/>
    <w:rsid w:val="00A4372A"/>
    <w:rsid w:val="00A4660C"/>
    <w:rsid w:val="00A471DD"/>
    <w:rsid w:val="00A51892"/>
    <w:rsid w:val="00A5346C"/>
    <w:rsid w:val="00A559FB"/>
    <w:rsid w:val="00A56116"/>
    <w:rsid w:val="00A613B3"/>
    <w:rsid w:val="00A61F99"/>
    <w:rsid w:val="00A62DC0"/>
    <w:rsid w:val="00A62F46"/>
    <w:rsid w:val="00A63F27"/>
    <w:rsid w:val="00A65FDA"/>
    <w:rsid w:val="00A66560"/>
    <w:rsid w:val="00A7023D"/>
    <w:rsid w:val="00A703AE"/>
    <w:rsid w:val="00A71C1E"/>
    <w:rsid w:val="00A71C20"/>
    <w:rsid w:val="00A7340A"/>
    <w:rsid w:val="00A75AEE"/>
    <w:rsid w:val="00A76679"/>
    <w:rsid w:val="00A809D8"/>
    <w:rsid w:val="00A81768"/>
    <w:rsid w:val="00A825E3"/>
    <w:rsid w:val="00A8502D"/>
    <w:rsid w:val="00A87A9E"/>
    <w:rsid w:val="00A87C2B"/>
    <w:rsid w:val="00A91472"/>
    <w:rsid w:val="00A915D8"/>
    <w:rsid w:val="00A92638"/>
    <w:rsid w:val="00A9321F"/>
    <w:rsid w:val="00A93F78"/>
    <w:rsid w:val="00A9638A"/>
    <w:rsid w:val="00A97F1A"/>
    <w:rsid w:val="00AA2755"/>
    <w:rsid w:val="00AA314D"/>
    <w:rsid w:val="00AB1B29"/>
    <w:rsid w:val="00AB367A"/>
    <w:rsid w:val="00AB4B64"/>
    <w:rsid w:val="00AB626F"/>
    <w:rsid w:val="00AC1773"/>
    <w:rsid w:val="00AC1CBE"/>
    <w:rsid w:val="00AC6BB5"/>
    <w:rsid w:val="00AC6DEC"/>
    <w:rsid w:val="00AC7489"/>
    <w:rsid w:val="00AD0194"/>
    <w:rsid w:val="00AD0598"/>
    <w:rsid w:val="00AD2109"/>
    <w:rsid w:val="00AD2B31"/>
    <w:rsid w:val="00AD4509"/>
    <w:rsid w:val="00AD5940"/>
    <w:rsid w:val="00AE0568"/>
    <w:rsid w:val="00AE6AA6"/>
    <w:rsid w:val="00AF275E"/>
    <w:rsid w:val="00AF3B36"/>
    <w:rsid w:val="00B01EB9"/>
    <w:rsid w:val="00B02ED4"/>
    <w:rsid w:val="00B04BAB"/>
    <w:rsid w:val="00B11305"/>
    <w:rsid w:val="00B11AF7"/>
    <w:rsid w:val="00B1655A"/>
    <w:rsid w:val="00B23BC2"/>
    <w:rsid w:val="00B25978"/>
    <w:rsid w:val="00B27123"/>
    <w:rsid w:val="00B275E2"/>
    <w:rsid w:val="00B27AD3"/>
    <w:rsid w:val="00B303B6"/>
    <w:rsid w:val="00B314A0"/>
    <w:rsid w:val="00B31E05"/>
    <w:rsid w:val="00B32147"/>
    <w:rsid w:val="00B34EBA"/>
    <w:rsid w:val="00B42FEB"/>
    <w:rsid w:val="00B44098"/>
    <w:rsid w:val="00B44E81"/>
    <w:rsid w:val="00B45612"/>
    <w:rsid w:val="00B45F3A"/>
    <w:rsid w:val="00B45F44"/>
    <w:rsid w:val="00B46671"/>
    <w:rsid w:val="00B46A3F"/>
    <w:rsid w:val="00B46F6D"/>
    <w:rsid w:val="00B47CBB"/>
    <w:rsid w:val="00B47EAF"/>
    <w:rsid w:val="00B517CB"/>
    <w:rsid w:val="00B57C90"/>
    <w:rsid w:val="00B60728"/>
    <w:rsid w:val="00B616D2"/>
    <w:rsid w:val="00B62098"/>
    <w:rsid w:val="00B64E95"/>
    <w:rsid w:val="00B65148"/>
    <w:rsid w:val="00B65198"/>
    <w:rsid w:val="00B66E0B"/>
    <w:rsid w:val="00B6747F"/>
    <w:rsid w:val="00B7068E"/>
    <w:rsid w:val="00B708EF"/>
    <w:rsid w:val="00B74161"/>
    <w:rsid w:val="00B743EA"/>
    <w:rsid w:val="00B76B2C"/>
    <w:rsid w:val="00B808CC"/>
    <w:rsid w:val="00B838CF"/>
    <w:rsid w:val="00B87F86"/>
    <w:rsid w:val="00B9006A"/>
    <w:rsid w:val="00B9133F"/>
    <w:rsid w:val="00B937A1"/>
    <w:rsid w:val="00B94315"/>
    <w:rsid w:val="00B944EF"/>
    <w:rsid w:val="00B97C3B"/>
    <w:rsid w:val="00BA10B3"/>
    <w:rsid w:val="00BA1AF7"/>
    <w:rsid w:val="00BA356E"/>
    <w:rsid w:val="00BA7DBB"/>
    <w:rsid w:val="00BB16D7"/>
    <w:rsid w:val="00BB1774"/>
    <w:rsid w:val="00BB582B"/>
    <w:rsid w:val="00BB62C1"/>
    <w:rsid w:val="00BC01FE"/>
    <w:rsid w:val="00BC0FF5"/>
    <w:rsid w:val="00BC1530"/>
    <w:rsid w:val="00BC1EAA"/>
    <w:rsid w:val="00BC27DA"/>
    <w:rsid w:val="00BC2D8E"/>
    <w:rsid w:val="00BC4293"/>
    <w:rsid w:val="00BC4A0C"/>
    <w:rsid w:val="00BC54F0"/>
    <w:rsid w:val="00BC599E"/>
    <w:rsid w:val="00BC5B1A"/>
    <w:rsid w:val="00BC5D5A"/>
    <w:rsid w:val="00BC7D5F"/>
    <w:rsid w:val="00BD025A"/>
    <w:rsid w:val="00BD1359"/>
    <w:rsid w:val="00BD13E6"/>
    <w:rsid w:val="00BD1EF3"/>
    <w:rsid w:val="00BD27F3"/>
    <w:rsid w:val="00BD36DA"/>
    <w:rsid w:val="00BD4DF5"/>
    <w:rsid w:val="00BD7640"/>
    <w:rsid w:val="00BD7A22"/>
    <w:rsid w:val="00BE04D4"/>
    <w:rsid w:val="00BE2017"/>
    <w:rsid w:val="00BE3378"/>
    <w:rsid w:val="00BE4F87"/>
    <w:rsid w:val="00BE5077"/>
    <w:rsid w:val="00BE71B7"/>
    <w:rsid w:val="00BE7420"/>
    <w:rsid w:val="00BE7C22"/>
    <w:rsid w:val="00BE7E51"/>
    <w:rsid w:val="00BF063B"/>
    <w:rsid w:val="00BF0F65"/>
    <w:rsid w:val="00BF2BC6"/>
    <w:rsid w:val="00BF37F3"/>
    <w:rsid w:val="00BF3D78"/>
    <w:rsid w:val="00C00294"/>
    <w:rsid w:val="00C00C66"/>
    <w:rsid w:val="00C03B4D"/>
    <w:rsid w:val="00C04B85"/>
    <w:rsid w:val="00C10BDE"/>
    <w:rsid w:val="00C12607"/>
    <w:rsid w:val="00C14406"/>
    <w:rsid w:val="00C20734"/>
    <w:rsid w:val="00C21389"/>
    <w:rsid w:val="00C21E37"/>
    <w:rsid w:val="00C227CC"/>
    <w:rsid w:val="00C23CE1"/>
    <w:rsid w:val="00C24AAA"/>
    <w:rsid w:val="00C25ECC"/>
    <w:rsid w:val="00C267FF"/>
    <w:rsid w:val="00C2776C"/>
    <w:rsid w:val="00C30629"/>
    <w:rsid w:val="00C3156B"/>
    <w:rsid w:val="00C32891"/>
    <w:rsid w:val="00C3353D"/>
    <w:rsid w:val="00C33E36"/>
    <w:rsid w:val="00C350B1"/>
    <w:rsid w:val="00C356F4"/>
    <w:rsid w:val="00C3625E"/>
    <w:rsid w:val="00C3665D"/>
    <w:rsid w:val="00C37C05"/>
    <w:rsid w:val="00C40DAA"/>
    <w:rsid w:val="00C42D77"/>
    <w:rsid w:val="00C4570A"/>
    <w:rsid w:val="00C463CB"/>
    <w:rsid w:val="00C477E4"/>
    <w:rsid w:val="00C47E53"/>
    <w:rsid w:val="00C504FB"/>
    <w:rsid w:val="00C50B43"/>
    <w:rsid w:val="00C54480"/>
    <w:rsid w:val="00C545E2"/>
    <w:rsid w:val="00C5631D"/>
    <w:rsid w:val="00C570E7"/>
    <w:rsid w:val="00C602D3"/>
    <w:rsid w:val="00C60910"/>
    <w:rsid w:val="00C631AC"/>
    <w:rsid w:val="00C64487"/>
    <w:rsid w:val="00C664EE"/>
    <w:rsid w:val="00C66ADC"/>
    <w:rsid w:val="00C67790"/>
    <w:rsid w:val="00C67974"/>
    <w:rsid w:val="00C71071"/>
    <w:rsid w:val="00C71211"/>
    <w:rsid w:val="00C716AA"/>
    <w:rsid w:val="00C72AC4"/>
    <w:rsid w:val="00C74CCF"/>
    <w:rsid w:val="00C75E02"/>
    <w:rsid w:val="00C803BF"/>
    <w:rsid w:val="00C810CB"/>
    <w:rsid w:val="00C83D78"/>
    <w:rsid w:val="00C917AC"/>
    <w:rsid w:val="00C93DE0"/>
    <w:rsid w:val="00CA0376"/>
    <w:rsid w:val="00CA1D58"/>
    <w:rsid w:val="00CA4E54"/>
    <w:rsid w:val="00CA6468"/>
    <w:rsid w:val="00CA785A"/>
    <w:rsid w:val="00CB14F6"/>
    <w:rsid w:val="00CC0B59"/>
    <w:rsid w:val="00CC3F4E"/>
    <w:rsid w:val="00CC48DC"/>
    <w:rsid w:val="00CC4F88"/>
    <w:rsid w:val="00CC6DF7"/>
    <w:rsid w:val="00CD011F"/>
    <w:rsid w:val="00CD07EB"/>
    <w:rsid w:val="00CD0C3C"/>
    <w:rsid w:val="00CD10F0"/>
    <w:rsid w:val="00CD1483"/>
    <w:rsid w:val="00CD1A59"/>
    <w:rsid w:val="00CD1BE5"/>
    <w:rsid w:val="00CD385E"/>
    <w:rsid w:val="00CD4CDD"/>
    <w:rsid w:val="00CD6108"/>
    <w:rsid w:val="00CD64B3"/>
    <w:rsid w:val="00CD7305"/>
    <w:rsid w:val="00CD7692"/>
    <w:rsid w:val="00CE0322"/>
    <w:rsid w:val="00CE36EB"/>
    <w:rsid w:val="00CE467F"/>
    <w:rsid w:val="00CE5778"/>
    <w:rsid w:val="00CE6D85"/>
    <w:rsid w:val="00CF0BF1"/>
    <w:rsid w:val="00CF3B13"/>
    <w:rsid w:val="00CF651F"/>
    <w:rsid w:val="00CF6905"/>
    <w:rsid w:val="00D0063C"/>
    <w:rsid w:val="00D007BB"/>
    <w:rsid w:val="00D01DE8"/>
    <w:rsid w:val="00D0418E"/>
    <w:rsid w:val="00D0572E"/>
    <w:rsid w:val="00D061C5"/>
    <w:rsid w:val="00D06530"/>
    <w:rsid w:val="00D06AD1"/>
    <w:rsid w:val="00D076AE"/>
    <w:rsid w:val="00D07847"/>
    <w:rsid w:val="00D103E0"/>
    <w:rsid w:val="00D10F50"/>
    <w:rsid w:val="00D11F72"/>
    <w:rsid w:val="00D13B30"/>
    <w:rsid w:val="00D1403B"/>
    <w:rsid w:val="00D14F38"/>
    <w:rsid w:val="00D22635"/>
    <w:rsid w:val="00D24127"/>
    <w:rsid w:val="00D27632"/>
    <w:rsid w:val="00D27C68"/>
    <w:rsid w:val="00D320A2"/>
    <w:rsid w:val="00D32610"/>
    <w:rsid w:val="00D34A2E"/>
    <w:rsid w:val="00D34DF2"/>
    <w:rsid w:val="00D4095D"/>
    <w:rsid w:val="00D416B4"/>
    <w:rsid w:val="00D437B5"/>
    <w:rsid w:val="00D43A8C"/>
    <w:rsid w:val="00D451CB"/>
    <w:rsid w:val="00D4562D"/>
    <w:rsid w:val="00D4664E"/>
    <w:rsid w:val="00D47F60"/>
    <w:rsid w:val="00D50538"/>
    <w:rsid w:val="00D52796"/>
    <w:rsid w:val="00D52C88"/>
    <w:rsid w:val="00D54FB6"/>
    <w:rsid w:val="00D55FA4"/>
    <w:rsid w:val="00D623D1"/>
    <w:rsid w:val="00D62411"/>
    <w:rsid w:val="00D643C0"/>
    <w:rsid w:val="00D649B0"/>
    <w:rsid w:val="00D650EB"/>
    <w:rsid w:val="00D6546F"/>
    <w:rsid w:val="00D675BC"/>
    <w:rsid w:val="00D70504"/>
    <w:rsid w:val="00D7064E"/>
    <w:rsid w:val="00D7086E"/>
    <w:rsid w:val="00D73238"/>
    <w:rsid w:val="00D73FCC"/>
    <w:rsid w:val="00D74914"/>
    <w:rsid w:val="00D764E9"/>
    <w:rsid w:val="00D80BC1"/>
    <w:rsid w:val="00D824B7"/>
    <w:rsid w:val="00D82F6B"/>
    <w:rsid w:val="00D840E8"/>
    <w:rsid w:val="00D84414"/>
    <w:rsid w:val="00D84CD2"/>
    <w:rsid w:val="00D912EF"/>
    <w:rsid w:val="00D9277C"/>
    <w:rsid w:val="00D928A1"/>
    <w:rsid w:val="00D94BEA"/>
    <w:rsid w:val="00D9584E"/>
    <w:rsid w:val="00D96C5B"/>
    <w:rsid w:val="00D97D65"/>
    <w:rsid w:val="00DA016E"/>
    <w:rsid w:val="00DA19D4"/>
    <w:rsid w:val="00DA39B5"/>
    <w:rsid w:val="00DA49E7"/>
    <w:rsid w:val="00DA62F7"/>
    <w:rsid w:val="00DA7DD6"/>
    <w:rsid w:val="00DB12E0"/>
    <w:rsid w:val="00DB1C0E"/>
    <w:rsid w:val="00DB3041"/>
    <w:rsid w:val="00DB3292"/>
    <w:rsid w:val="00DB531B"/>
    <w:rsid w:val="00DB5995"/>
    <w:rsid w:val="00DB649A"/>
    <w:rsid w:val="00DC0CD9"/>
    <w:rsid w:val="00DC1BFC"/>
    <w:rsid w:val="00DC510D"/>
    <w:rsid w:val="00DC5414"/>
    <w:rsid w:val="00DC5EB9"/>
    <w:rsid w:val="00DC6EAB"/>
    <w:rsid w:val="00DC7134"/>
    <w:rsid w:val="00DD0393"/>
    <w:rsid w:val="00DD1B8B"/>
    <w:rsid w:val="00DD4550"/>
    <w:rsid w:val="00DD49E9"/>
    <w:rsid w:val="00DD69FD"/>
    <w:rsid w:val="00DE2926"/>
    <w:rsid w:val="00DE74EA"/>
    <w:rsid w:val="00DF1D01"/>
    <w:rsid w:val="00DF26FC"/>
    <w:rsid w:val="00DF33DD"/>
    <w:rsid w:val="00DF466A"/>
    <w:rsid w:val="00DF54DD"/>
    <w:rsid w:val="00DF58A7"/>
    <w:rsid w:val="00DF6030"/>
    <w:rsid w:val="00DF6E70"/>
    <w:rsid w:val="00E009C0"/>
    <w:rsid w:val="00E014AA"/>
    <w:rsid w:val="00E01925"/>
    <w:rsid w:val="00E01FF8"/>
    <w:rsid w:val="00E032B0"/>
    <w:rsid w:val="00E036D9"/>
    <w:rsid w:val="00E05D2C"/>
    <w:rsid w:val="00E06688"/>
    <w:rsid w:val="00E07788"/>
    <w:rsid w:val="00E07B67"/>
    <w:rsid w:val="00E12985"/>
    <w:rsid w:val="00E1573D"/>
    <w:rsid w:val="00E1751D"/>
    <w:rsid w:val="00E22770"/>
    <w:rsid w:val="00E22CBF"/>
    <w:rsid w:val="00E238D0"/>
    <w:rsid w:val="00E23A6D"/>
    <w:rsid w:val="00E32BFB"/>
    <w:rsid w:val="00E33DF2"/>
    <w:rsid w:val="00E3570D"/>
    <w:rsid w:val="00E364EE"/>
    <w:rsid w:val="00E36786"/>
    <w:rsid w:val="00E41DC6"/>
    <w:rsid w:val="00E4226B"/>
    <w:rsid w:val="00E42DF7"/>
    <w:rsid w:val="00E455AF"/>
    <w:rsid w:val="00E45955"/>
    <w:rsid w:val="00E50085"/>
    <w:rsid w:val="00E53829"/>
    <w:rsid w:val="00E53A2A"/>
    <w:rsid w:val="00E57572"/>
    <w:rsid w:val="00E629BB"/>
    <w:rsid w:val="00E64C16"/>
    <w:rsid w:val="00E652FE"/>
    <w:rsid w:val="00E65D8E"/>
    <w:rsid w:val="00E669B0"/>
    <w:rsid w:val="00E6735D"/>
    <w:rsid w:val="00E67437"/>
    <w:rsid w:val="00E678DE"/>
    <w:rsid w:val="00E71774"/>
    <w:rsid w:val="00E74C7D"/>
    <w:rsid w:val="00E766CF"/>
    <w:rsid w:val="00E80C89"/>
    <w:rsid w:val="00E8235C"/>
    <w:rsid w:val="00E83E66"/>
    <w:rsid w:val="00E86289"/>
    <w:rsid w:val="00E8739F"/>
    <w:rsid w:val="00E905B7"/>
    <w:rsid w:val="00E9063B"/>
    <w:rsid w:val="00E94E8D"/>
    <w:rsid w:val="00E95265"/>
    <w:rsid w:val="00EA0189"/>
    <w:rsid w:val="00EA1751"/>
    <w:rsid w:val="00EA183F"/>
    <w:rsid w:val="00EA510D"/>
    <w:rsid w:val="00EA5B41"/>
    <w:rsid w:val="00EB3B02"/>
    <w:rsid w:val="00EB3B21"/>
    <w:rsid w:val="00EB4FA7"/>
    <w:rsid w:val="00EB505D"/>
    <w:rsid w:val="00EC30A2"/>
    <w:rsid w:val="00EC31C0"/>
    <w:rsid w:val="00EC4EC5"/>
    <w:rsid w:val="00EC538C"/>
    <w:rsid w:val="00EC6E31"/>
    <w:rsid w:val="00ED13E3"/>
    <w:rsid w:val="00ED2945"/>
    <w:rsid w:val="00ED45E2"/>
    <w:rsid w:val="00ED5E78"/>
    <w:rsid w:val="00ED6662"/>
    <w:rsid w:val="00ED793F"/>
    <w:rsid w:val="00ED7D69"/>
    <w:rsid w:val="00ED7FAA"/>
    <w:rsid w:val="00EE0670"/>
    <w:rsid w:val="00EE1AE5"/>
    <w:rsid w:val="00EE1D98"/>
    <w:rsid w:val="00EE3C3A"/>
    <w:rsid w:val="00EE467C"/>
    <w:rsid w:val="00EF0475"/>
    <w:rsid w:val="00EF06B8"/>
    <w:rsid w:val="00EF0716"/>
    <w:rsid w:val="00EF1923"/>
    <w:rsid w:val="00EF39F4"/>
    <w:rsid w:val="00EF63F6"/>
    <w:rsid w:val="00EF709A"/>
    <w:rsid w:val="00EF74F2"/>
    <w:rsid w:val="00F007E2"/>
    <w:rsid w:val="00F04885"/>
    <w:rsid w:val="00F04F6C"/>
    <w:rsid w:val="00F05FF5"/>
    <w:rsid w:val="00F07053"/>
    <w:rsid w:val="00F074E3"/>
    <w:rsid w:val="00F07F3C"/>
    <w:rsid w:val="00F1199D"/>
    <w:rsid w:val="00F11D3C"/>
    <w:rsid w:val="00F13199"/>
    <w:rsid w:val="00F15D3A"/>
    <w:rsid w:val="00F16694"/>
    <w:rsid w:val="00F16BBE"/>
    <w:rsid w:val="00F16FAD"/>
    <w:rsid w:val="00F2026C"/>
    <w:rsid w:val="00F21DE7"/>
    <w:rsid w:val="00F22190"/>
    <w:rsid w:val="00F2284D"/>
    <w:rsid w:val="00F2381C"/>
    <w:rsid w:val="00F253D2"/>
    <w:rsid w:val="00F25542"/>
    <w:rsid w:val="00F2661C"/>
    <w:rsid w:val="00F31467"/>
    <w:rsid w:val="00F340E0"/>
    <w:rsid w:val="00F34634"/>
    <w:rsid w:val="00F35E81"/>
    <w:rsid w:val="00F438B8"/>
    <w:rsid w:val="00F45C12"/>
    <w:rsid w:val="00F47303"/>
    <w:rsid w:val="00F500E2"/>
    <w:rsid w:val="00F50563"/>
    <w:rsid w:val="00F50886"/>
    <w:rsid w:val="00F50A9F"/>
    <w:rsid w:val="00F521B6"/>
    <w:rsid w:val="00F52F34"/>
    <w:rsid w:val="00F53E0E"/>
    <w:rsid w:val="00F5436E"/>
    <w:rsid w:val="00F548AC"/>
    <w:rsid w:val="00F54C52"/>
    <w:rsid w:val="00F60A40"/>
    <w:rsid w:val="00F60F08"/>
    <w:rsid w:val="00F63DA3"/>
    <w:rsid w:val="00F64142"/>
    <w:rsid w:val="00F65A25"/>
    <w:rsid w:val="00F6791F"/>
    <w:rsid w:val="00F67A42"/>
    <w:rsid w:val="00F708A7"/>
    <w:rsid w:val="00F71D56"/>
    <w:rsid w:val="00F722BB"/>
    <w:rsid w:val="00F75EBC"/>
    <w:rsid w:val="00F7694A"/>
    <w:rsid w:val="00F7755C"/>
    <w:rsid w:val="00F77789"/>
    <w:rsid w:val="00F803D5"/>
    <w:rsid w:val="00F81C6C"/>
    <w:rsid w:val="00F82ABD"/>
    <w:rsid w:val="00F834DF"/>
    <w:rsid w:val="00F8384F"/>
    <w:rsid w:val="00F84A0D"/>
    <w:rsid w:val="00F900D5"/>
    <w:rsid w:val="00F92D4C"/>
    <w:rsid w:val="00F9360E"/>
    <w:rsid w:val="00F9780C"/>
    <w:rsid w:val="00FA0573"/>
    <w:rsid w:val="00FA0D04"/>
    <w:rsid w:val="00FA2AD6"/>
    <w:rsid w:val="00FA6806"/>
    <w:rsid w:val="00FB225B"/>
    <w:rsid w:val="00FB3BD6"/>
    <w:rsid w:val="00FB54FE"/>
    <w:rsid w:val="00FB6D1B"/>
    <w:rsid w:val="00FC0166"/>
    <w:rsid w:val="00FC1708"/>
    <w:rsid w:val="00FC24C1"/>
    <w:rsid w:val="00FC2829"/>
    <w:rsid w:val="00FC5365"/>
    <w:rsid w:val="00FC5530"/>
    <w:rsid w:val="00FC61A3"/>
    <w:rsid w:val="00FD1F97"/>
    <w:rsid w:val="00FD2096"/>
    <w:rsid w:val="00FD2E61"/>
    <w:rsid w:val="00FD6DD3"/>
    <w:rsid w:val="00FE2282"/>
    <w:rsid w:val="00FE3525"/>
    <w:rsid w:val="00FE6A0B"/>
    <w:rsid w:val="00FF40D2"/>
    <w:rsid w:val="00FF4493"/>
    <w:rsid w:val="00FF57FD"/>
    <w:rsid w:val="00FF5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63258406">
      <w:bodyDiv w:val="1"/>
      <w:marLeft w:val="0"/>
      <w:marRight w:val="0"/>
      <w:marTop w:val="0"/>
      <w:marBottom w:val="0"/>
      <w:divBdr>
        <w:top w:val="none" w:sz="0" w:space="0" w:color="auto"/>
        <w:left w:val="none" w:sz="0" w:space="0" w:color="auto"/>
        <w:bottom w:val="none" w:sz="0" w:space="0" w:color="auto"/>
        <w:right w:val="none" w:sz="0" w:space="0" w:color="auto"/>
      </w:divBdr>
      <w:divsChild>
        <w:div w:id="1186089814">
          <w:marLeft w:val="562"/>
          <w:marRight w:val="0"/>
          <w:marTop w:val="0"/>
          <w:marBottom w:val="0"/>
          <w:divBdr>
            <w:top w:val="none" w:sz="0" w:space="0" w:color="auto"/>
            <w:left w:val="none" w:sz="0" w:space="0" w:color="auto"/>
            <w:bottom w:val="none" w:sz="0" w:space="0" w:color="auto"/>
            <w:right w:val="none" w:sz="0" w:space="0" w:color="auto"/>
          </w:divBdr>
        </w:div>
        <w:div w:id="207763700">
          <w:marLeft w:val="562"/>
          <w:marRight w:val="0"/>
          <w:marTop w:val="0"/>
          <w:marBottom w:val="0"/>
          <w:divBdr>
            <w:top w:val="none" w:sz="0" w:space="0" w:color="auto"/>
            <w:left w:val="none" w:sz="0" w:space="0" w:color="auto"/>
            <w:bottom w:val="none" w:sz="0" w:space="0" w:color="auto"/>
            <w:right w:val="none" w:sz="0" w:space="0" w:color="auto"/>
          </w:divBdr>
        </w:div>
      </w:divsChild>
    </w:div>
    <w:div w:id="83302691">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79318082">
      <w:bodyDiv w:val="1"/>
      <w:marLeft w:val="0"/>
      <w:marRight w:val="0"/>
      <w:marTop w:val="0"/>
      <w:marBottom w:val="0"/>
      <w:divBdr>
        <w:top w:val="none" w:sz="0" w:space="0" w:color="auto"/>
        <w:left w:val="none" w:sz="0" w:space="0" w:color="auto"/>
        <w:bottom w:val="none" w:sz="0" w:space="0" w:color="auto"/>
        <w:right w:val="none" w:sz="0" w:space="0" w:color="auto"/>
      </w:divBdr>
      <w:divsChild>
        <w:div w:id="1215461972">
          <w:marLeft w:val="562"/>
          <w:marRight w:val="0"/>
          <w:marTop w:val="0"/>
          <w:marBottom w:val="0"/>
          <w:divBdr>
            <w:top w:val="none" w:sz="0" w:space="0" w:color="auto"/>
            <w:left w:val="none" w:sz="0" w:space="0" w:color="auto"/>
            <w:bottom w:val="none" w:sz="0" w:space="0" w:color="auto"/>
            <w:right w:val="none" w:sz="0" w:space="0" w:color="auto"/>
          </w:divBdr>
        </w:div>
        <w:div w:id="385105442">
          <w:marLeft w:val="821"/>
          <w:marRight w:val="0"/>
          <w:marTop w:val="0"/>
          <w:marBottom w:val="0"/>
          <w:divBdr>
            <w:top w:val="none" w:sz="0" w:space="0" w:color="auto"/>
            <w:left w:val="none" w:sz="0" w:space="0" w:color="auto"/>
            <w:bottom w:val="none" w:sz="0" w:space="0" w:color="auto"/>
            <w:right w:val="none" w:sz="0" w:space="0" w:color="auto"/>
          </w:divBdr>
        </w:div>
        <w:div w:id="734744524">
          <w:marLeft w:val="821"/>
          <w:marRight w:val="0"/>
          <w:marTop w:val="0"/>
          <w:marBottom w:val="0"/>
          <w:divBdr>
            <w:top w:val="none" w:sz="0" w:space="0" w:color="auto"/>
            <w:left w:val="none" w:sz="0" w:space="0" w:color="auto"/>
            <w:bottom w:val="none" w:sz="0" w:space="0" w:color="auto"/>
            <w:right w:val="none" w:sz="0" w:space="0" w:color="auto"/>
          </w:divBdr>
        </w:div>
        <w:div w:id="144321617">
          <w:marLeft w:val="562"/>
          <w:marRight w:val="0"/>
          <w:marTop w:val="0"/>
          <w:marBottom w:val="0"/>
          <w:divBdr>
            <w:top w:val="none" w:sz="0" w:space="0" w:color="auto"/>
            <w:left w:val="none" w:sz="0" w:space="0" w:color="auto"/>
            <w:bottom w:val="none" w:sz="0" w:space="0" w:color="auto"/>
            <w:right w:val="none" w:sz="0" w:space="0" w:color="auto"/>
          </w:divBdr>
        </w:div>
      </w:divsChild>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34752030">
      <w:bodyDiv w:val="1"/>
      <w:marLeft w:val="0"/>
      <w:marRight w:val="0"/>
      <w:marTop w:val="0"/>
      <w:marBottom w:val="0"/>
      <w:divBdr>
        <w:top w:val="none" w:sz="0" w:space="0" w:color="auto"/>
        <w:left w:val="none" w:sz="0" w:space="0" w:color="auto"/>
        <w:bottom w:val="none" w:sz="0" w:space="0" w:color="auto"/>
        <w:right w:val="none" w:sz="0" w:space="0" w:color="auto"/>
      </w:divBdr>
      <w:divsChild>
        <w:div w:id="2001763367">
          <w:marLeft w:val="216"/>
          <w:marRight w:val="0"/>
          <w:marTop w:val="240"/>
          <w:marBottom w:val="0"/>
          <w:divBdr>
            <w:top w:val="none" w:sz="0" w:space="0" w:color="auto"/>
            <w:left w:val="none" w:sz="0" w:space="0" w:color="auto"/>
            <w:bottom w:val="none" w:sz="0" w:space="0" w:color="auto"/>
            <w:right w:val="none" w:sz="0" w:space="0" w:color="auto"/>
          </w:divBdr>
        </w:div>
        <w:div w:id="452097678">
          <w:marLeft w:val="216"/>
          <w:marRight w:val="0"/>
          <w:marTop w:val="240"/>
          <w:marBottom w:val="0"/>
          <w:divBdr>
            <w:top w:val="none" w:sz="0" w:space="0" w:color="auto"/>
            <w:left w:val="none" w:sz="0" w:space="0" w:color="auto"/>
            <w:bottom w:val="none" w:sz="0" w:space="0" w:color="auto"/>
            <w:right w:val="none" w:sz="0" w:space="0" w:color="auto"/>
          </w:divBdr>
        </w:div>
        <w:div w:id="780029730">
          <w:marLeft w:val="216"/>
          <w:marRight w:val="0"/>
          <w:marTop w:val="240"/>
          <w:marBottom w:val="0"/>
          <w:divBdr>
            <w:top w:val="none" w:sz="0" w:space="0" w:color="auto"/>
            <w:left w:val="none" w:sz="0" w:space="0" w:color="auto"/>
            <w:bottom w:val="none" w:sz="0" w:space="0" w:color="auto"/>
            <w:right w:val="none" w:sz="0" w:space="0" w:color="auto"/>
          </w:divBdr>
        </w:div>
        <w:div w:id="1890993744">
          <w:marLeft w:val="562"/>
          <w:marRight w:val="0"/>
          <w:marTop w:val="0"/>
          <w:marBottom w:val="0"/>
          <w:divBdr>
            <w:top w:val="none" w:sz="0" w:space="0" w:color="auto"/>
            <w:left w:val="none" w:sz="0" w:space="0" w:color="auto"/>
            <w:bottom w:val="none" w:sz="0" w:space="0" w:color="auto"/>
            <w:right w:val="none" w:sz="0" w:space="0" w:color="auto"/>
          </w:divBdr>
        </w:div>
        <w:div w:id="150024941">
          <w:marLeft w:val="216"/>
          <w:marRight w:val="0"/>
          <w:marTop w:val="240"/>
          <w:marBottom w:val="0"/>
          <w:divBdr>
            <w:top w:val="none" w:sz="0" w:space="0" w:color="auto"/>
            <w:left w:val="none" w:sz="0" w:space="0" w:color="auto"/>
            <w:bottom w:val="none" w:sz="0" w:space="0" w:color="auto"/>
            <w:right w:val="none" w:sz="0" w:space="0" w:color="auto"/>
          </w:divBdr>
        </w:div>
        <w:div w:id="1389722764">
          <w:marLeft w:val="562"/>
          <w:marRight w:val="0"/>
          <w:marTop w:val="0"/>
          <w:marBottom w:val="0"/>
          <w:divBdr>
            <w:top w:val="none" w:sz="0" w:space="0" w:color="auto"/>
            <w:left w:val="none" w:sz="0" w:space="0" w:color="auto"/>
            <w:bottom w:val="none" w:sz="0" w:space="0" w:color="auto"/>
            <w:right w:val="none" w:sz="0" w:space="0" w:color="auto"/>
          </w:divBdr>
        </w:div>
        <w:div w:id="1428697648">
          <w:marLeft w:val="216"/>
          <w:marRight w:val="0"/>
          <w:marTop w:val="24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98926-3DFC-48DA-B7B6-5005EB9E0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3951</Words>
  <Characters>22525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2021-10-02T00:55:00Z</dcterms:created>
  <dcterms:modified xsi:type="dcterms:W3CDTF">2021-10-02T00:58:00Z</dcterms:modified>
</cp:coreProperties>
</file>